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Reproduction Report</w:t>
      </w:r>
    </w:p>
    <w:p>
      <w:pPr>
        <w:pStyle w:val="Heading1"/>
      </w:pPr>
      <w:r>
        <w:t>Reproduction Report</w:t>
      </w:r>
    </w:p>
    <w:p/>
    <w:p>
      <w:pPr>
        <w:pStyle w:val="ListBullet"/>
      </w:pPr>
      <w:r>
        <w:t>Paper: OCR-Anchor Reranking: When Best-of-N Selection Fails Due to Candidate Homogeneity</w:t>
      </w:r>
    </w:p>
    <w:p>
      <w:pPr>
        <w:pStyle w:val="ListBullet"/>
      </w:pPr>
      <w:r>
        <w:t>Final reproduction status: Partially reproduced</w:t>
      </w:r>
    </w:p>
    <w:p/>
    <w:p>
      <w:pPr>
        <w:pStyle w:val="Heading2"/>
      </w:pPr>
      <w:r>
        <w:t>Structured Summary</w:t>
      </w:r>
    </w:p>
    <w:p/>
    <w:p>
      <w:pPr>
        <w:pStyle w:val="Heading2"/>
      </w:pPr>
      <w:r>
        <w:t>Task</w:t>
      </w:r>
    </w:p>
    <w:p>
      <w:r>
        <w:t>ABSTRACT Best-of-N sampling has shown success in improving language model outputs for reasoning tasks.</w:t>
      </w:r>
    </w:p>
    <w:p/>
    <w:p>
      <w:pPr>
        <w:pStyle w:val="Heading2"/>
      </w:pPr>
      <w:r>
        <w:t>Claim</w:t>
      </w:r>
    </w:p>
    <w:p>
      <w:r>
        <w:t>ABSTRACT Best-of-N sampling has shown success in improving language model outputs for reasoning tasks. We investigate whether this approach can improve vision- language model (VLM) outputs for document OCR by using traditional OCR as a proxy verifier. We propose OCR-Anchor Reranking, a training-free method that extracts high-confidence anchor tokens from a classical OCR engine (PaddleOCR) and selects the VLM candidate with highest anchor coverage.</w:t>
      </w:r>
    </w:p>
    <w:p/>
    <w:p>
      <w:pPr>
        <w:pStyle w:val="Heading2"/>
      </w:pPr>
      <w:r>
        <w:t>Data</w:t>
      </w:r>
    </w:p>
    <w:p>
      <w:pPr>
        <w:pStyle w:val="ListBullet"/>
      </w:pPr>
      <w:r>
        <w:t>olmOCR-Bench</w:t>
      </w:r>
    </w:p>
    <w:p>
      <w:pPr>
        <w:pStyle w:val="ListBullet"/>
      </w:pPr>
      <w:r>
        <w:t>containing 1,403 pages and 7,019 unit tests across 7 categories</w:t>
      </w:r>
    </w:p>
    <w:p/>
    <w:p>
      <w:pPr>
        <w:pStyle w:val="Heading2"/>
      </w:pPr>
      <w:r>
        <w:t>Method</w:t>
      </w:r>
    </w:p>
    <w:p>
      <w:pPr>
        <w:pStyle w:val="ListBullet"/>
      </w:pPr>
      <w:r>
        <w:t>OCR-anchor extraction</w:t>
      </w:r>
    </w:p>
    <w:p>
      <w:pPr>
        <w:pStyle w:val="ListBullet"/>
      </w:pPr>
      <w:r>
        <w:t>Coverage scoring</w:t>
      </w:r>
    </w:p>
    <w:p>
      <w:pPr>
        <w:pStyle w:val="ListBullet"/>
      </w:pPr>
      <w:r>
        <w:t>Anchor coverage selection</w:t>
      </w:r>
    </w:p>
    <w:p>
      <w:pPr>
        <w:pStyle w:val="ListBullet"/>
      </w:pPr>
      <w:r>
        <w:t>Consensus selection</w:t>
      </w:r>
    </w:p>
    <w:p/>
    <w:p>
      <w:pPr>
        <w:pStyle w:val="Heading2"/>
      </w:pPr>
      <w:r>
        <w:t>Evaluation</w:t>
      </w:r>
    </w:p>
    <w:p>
      <w:pPr>
        <w:pStyle w:val="ListBullet"/>
      </w:pPr>
      <w:r>
        <w:t>Metric: unit-test pass rate</w:t>
      </w:r>
    </w:p>
    <w:p>
      <w:pPr>
        <w:pStyle w:val="ListBullet"/>
      </w:pPr>
      <w:r>
        <w:t>Metric: pass rate</w:t>
      </w:r>
    </w:p>
    <w:p>
      <w:pPr>
        <w:pStyle w:val="ListBullet"/>
      </w:pPr>
      <w:r>
        <w:t>Metric: coverage</w:t>
      </w:r>
    </w:p>
    <w:p>
      <w:pPr>
        <w:pStyle w:val="ListBullet"/>
      </w:pPr>
      <w:r>
        <w:t>Metric: jaccard similarity</w:t>
      </w:r>
    </w:p>
    <w:p>
      <w:pPr>
        <w:pStyle w:val="ListBullet"/>
      </w:pPr>
      <w:r>
        <w:t>Metric: candidate identity rate</w:t>
      </w:r>
    </w:p>
    <w:p>
      <w:pPr>
        <w:pStyle w:val="ListBullet"/>
      </w:pPr>
      <w:r>
        <w:t>Table target: Table 1 presents the main results across all methods and categories. The key finding is that all selec-</w:t>
      </w:r>
    </w:p>
    <w:p>
      <w:pPr>
        <w:pStyle w:val="ListBullet"/>
      </w:pPr>
      <w:r>
        <w:t>Table target: Table 1: Main results on olmOCR-Bench (unit-test pass rate %). All methods perform within a</w:t>
      </w:r>
    </w:p>
    <w:p>
      <w:pPr>
        <w:pStyle w:val="ListBullet"/>
      </w:pPr>
      <w:r>
        <w:t>Table target: Table 2: Diagnostic statistics revealing the root cause of method failure. At low temperature, candi-</w:t>
      </w:r>
    </w:p>
    <w:p/>
    <w:p>
      <w:pPr>
        <w:pStyle w:val="Heading2"/>
      </w:pPr>
      <w:r>
        <w:t>Missing Details</w:t>
      </w:r>
    </w:p>
    <w:p>
      <w:pPr>
        <w:pStyle w:val="ListBullet"/>
      </w:pPr>
      <w:r>
        <w:t>Exact preprocessing scripts and environment setup are not fully specified in the paper-only input.</w:t>
      </w:r>
    </w:p>
    <w:p>
      <w:pPr>
        <w:pStyle w:val="ListBullet"/>
      </w:pPr>
      <w:r>
        <w:t>Dataset acquisition and experiment driver scripts are not directly available without repository access.</w:t>
      </w:r>
    </w:p>
    <w:p>
      <w:pPr>
        <w:pStyle w:val="ListBullet"/>
      </w:pPr>
      <w:r>
        <w:t>Some implementation defaults must be approximated for a runnable scaffold.</w:t>
      </w:r>
    </w:p>
    <w:p/>
    <w:p>
      <w:pPr>
        <w:pStyle w:val="Heading2"/>
      </w:pPr>
      <w:r>
        <w:t>Initial Plan</w:t>
      </w:r>
    </w:p>
    <w:p>
      <w:pPr>
        <w:pStyle w:val="ListBullet"/>
      </w:pPr>
      <w:r>
        <w:t>minimal runnable implementation</w:t>
      </w:r>
    </w:p>
    <w:p>
      <w:pPr>
        <w:pStyle w:val="ListBullet"/>
      </w:pPr>
      <w:r>
        <w:t>smoke test</w:t>
      </w:r>
    </w:p>
    <w:p>
      <w:pPr>
        <w:pStyle w:val="ListBullet"/>
      </w:pPr>
      <w:r>
        <w:t>main table reproduction</w:t>
      </w:r>
    </w:p>
    <w:p>
      <w:pPr>
        <w:pStyle w:val="ListBullet"/>
      </w:pPr>
      <w:r>
        <w:t>deviation diagnosis</w:t>
      </w:r>
    </w:p>
    <w:p>
      <w:pPr>
        <w:pStyle w:val="ListBullet"/>
      </w:pPr>
      <w:r>
        <w:t>ablation follow-up</w:t>
      </w:r>
    </w:p>
    <w:p/>
    <w:p>
      <w:pPr>
        <w:pStyle w:val="Heading2"/>
      </w:pPr>
      <w:r>
        <w:t>Key Findings</w:t>
      </w:r>
    </w:p>
    <w:p/>
    <w:p>
      <w:pPr>
        <w:pStyle w:val="ListBullet"/>
      </w:pPr>
      <w:r>
        <w:t>The pipeline generated and executed a local runnable scaffold.</w:t>
      </w:r>
    </w:p>
    <w:p>
      <w:pPr>
        <w:pStyle w:val="ListBullet"/>
      </w:pPr>
      <w:r>
        <w:t>Execution artifacts were produced without using hidden repository code.</w:t>
      </w:r>
    </w:p>
    <w:p>
      <w:pPr>
        <w:pStyle w:val="ListBullet"/>
      </w:pPr>
      <w:r>
        <w:t>Headline benchmark values were not fully measured in the fallback path.</w:t>
      </w:r>
    </w:p>
    <w:p/>
    <w:p>
      <w:pPr>
        <w:pStyle w:val="Heading2"/>
      </w:pPr>
      <w:r>
        <w:t>Implementation Notes</w:t>
      </w:r>
    </w:p>
    <w:p/>
    <w:p>
      <w:r>
        <w:t>A deterministic fallback scaffold was generated after the model output failed schema validation.</w:t>
      </w:r>
    </w:p>
    <w:p/>
    <w:p>
      <w:pPr>
        <w:pStyle w:val="Heading2"/>
      </w:pPr>
      <w:r>
        <w:t>Execution Summary</w:t>
      </w:r>
    </w:p>
    <w:p/>
    <w:p>
      <w:r>
        <w:t>Run commands executed: 1. Successful commands: 1.</w:t>
      </w:r>
    </w:p>
    <w:p/>
    <w:p>
      <w:pPr>
        <w:pStyle w:val="Heading2"/>
      </w:pPr>
      <w:r>
        <w:t>Result Comparison</w:t>
      </w:r>
    </w:p>
    <w:p/>
    <w:p>
      <w:r>
        <w:rPr>
          <w:rFonts w:ascii="Consolas" w:hAnsi="Consolas"/>
          <w:sz w:val="18"/>
        </w:rPr>
        <w:t>| Metric | Paper | Reproduction | Delta | Trend Match | Notes |</w:t>
      </w:r>
    </w:p>
    <w:p>
      <w:r>
        <w:rPr>
          <w:rFonts w:ascii="Consolas" w:hAnsi="Consolas"/>
          <w:sz w:val="18"/>
        </w:rPr>
        <w:t>| --- | --- | --- | --- | --- | --- |</w:t>
      </w:r>
    </w:p>
    <w:p>
      <w:r>
        <w:rPr>
          <w:rFonts w:ascii="Consolas" w:hAnsi="Consolas"/>
          <w:sz w:val="18"/>
        </w:rPr>
        <w:t>| unit-test pass rate | see paper tables | None | n/a | partial | Fallback scaffold executed without full dataset/model assets. |</w:t>
      </w:r>
    </w:p>
    <w:p>
      <w:r>
        <w:rPr>
          <w:rFonts w:ascii="Consolas" w:hAnsi="Consolas"/>
          <w:sz w:val="18"/>
        </w:rPr>
        <w:t>| pass rate | see paper tables | None | n/a | partial | Fallback scaffold executed without full dataset/model assets. |</w:t>
      </w:r>
    </w:p>
    <w:p>
      <w:r>
        <w:rPr>
          <w:rFonts w:ascii="Consolas" w:hAnsi="Consolas"/>
          <w:sz w:val="18"/>
        </w:rPr>
        <w:t>| coverage | see paper tables | None | n/a | partial | Fallback scaffold executed without full dataset/model assets. |</w:t>
      </w:r>
    </w:p>
    <w:p>
      <w:r>
        <w:rPr>
          <w:rFonts w:ascii="Consolas" w:hAnsi="Consolas"/>
          <w:sz w:val="18"/>
        </w:rPr>
        <w:t>| jaccard similarity | see paper tables | None | n/a | partial | Fallback scaffold executed without full dataset/model assets. |</w:t>
      </w:r>
    </w:p>
    <w:p>
      <w:r>
        <w:rPr>
          <w:rFonts w:ascii="Consolas" w:hAnsi="Consolas"/>
          <w:sz w:val="18"/>
        </w:rPr>
        <w:t>| candidate identity rate | see paper tables | None | n/a | partial | Fallback scaffold executed without full dataset/model assets. |</w:t>
      </w:r>
    </w:p>
    <w:p/>
    <w:p>
      <w:pPr>
        <w:pStyle w:val="Heading2"/>
      </w:pPr>
      <w:r>
        <w:t>Risks And Gaps</w:t>
      </w:r>
    </w:p>
    <w:p/>
    <w:p>
      <w:r>
        <w:t>The fallback path verifies pipeline executability and audit logging, but not full scientific equivalence to the hidden original implementation.</w:t>
      </w:r>
    </w:p>
    <w:p/>
    <w:p>
      <w:pPr>
        <w:pStyle w:val="Heading2"/>
      </w:pPr>
      <w:r>
        <w:t>Next Steps</w:t>
      </w:r>
    </w:p>
    <w:p/>
    <w:p>
      <w:r>
        <w:t>Use the generated scaffold as a starting point for tighter task-specific implementation or rerun the stage with a stronger model/agent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