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5D4FB3"/>
          <w:spacing w:val="40"/>
          <w:sz w:val="22"/>
          <w:szCs w:val="22"/>
        </w:rPr>
        <w:t xml:space="preserve">CHUNGUZA GROWTH PLATFORM</w:t>
      </w:r>
    </w:p>
    <w:p>
      <w:pPr>
        <w:spacing w:after="200"/>
      </w:pPr>
      <w:r>
        <w:rPr>
          <w:b/>
          <w:bCs/>
          <w:color w:val="1B1B22"/>
          <w:sz w:val="60"/>
          <w:szCs w:val="60"/>
        </w:rPr>
        <w:t xml:space="preserve">Architecture Plan</w:t>
      </w:r>
    </w:p>
    <w:p>
      <w:pPr>
        <w:pBdr>
          <w:bottom w:val="single" w:color="5D4FB3" w:sz="8" w:space="12"/>
        </w:pBdr>
        <w:spacing w:after="360"/>
      </w:pPr>
      <w:r>
        <w:rPr>
          <w:color w:val="5A5A66"/>
          <w:sz w:val="26"/>
          <w:szCs w:val="26"/>
        </w:rPr>
        <w:t xml:space="preserve">Agency operating system: multi-workspace lead generation, outreach, retention and analytics</w:t>
      </w:r>
    </w:p>
    <w:p>
      <w:pPr>
        <w:spacing w:after="60"/>
      </w:pPr>
      <w:r>
        <w:rPr>
          <w:b/>
          <w:bCs/>
          <w:color w:val="5A5A66"/>
          <w:sz w:val="20"/>
          <w:szCs w:val="20"/>
        </w:rPr>
        <w:t xml:space="preserve">Version</w:t>
      </w:r>
      <w:r>
        <w:rPr>
          <w:color w:val="5A5A66"/>
          <w:sz w:val="20"/>
          <w:szCs w:val="20"/>
        </w:rPr>
        <w:t xml:space="preserve"> 3.0 (refines v2.0 of 17 Sep 2026)  ·  </w:t>
      </w:r>
      <w:r>
        <w:rPr>
          <w:b/>
          <w:bCs/>
          <w:color w:val="5A5A66"/>
          <w:sz w:val="20"/>
          <w:szCs w:val="20"/>
        </w:rPr>
        <w:t xml:space="preserve">Date</w:t>
      </w:r>
      <w:r>
        <w:rPr>
          <w:color w:val="5A5A66"/>
          <w:sz w:val="20"/>
          <w:szCs w:val="20"/>
        </w:rPr>
        <w:t xml:space="preserve"> 25 September 2026</w:t>
      </w:r>
    </w:p>
    <w:p>
      <w:pPr>
        <w:spacing w:after="60"/>
      </w:pPr>
      <w:r>
        <w:rPr>
          <w:b/>
          <w:bCs/>
          <w:color w:val="5A5A66"/>
          <w:sz w:val="20"/>
          <w:szCs w:val="20"/>
        </w:rPr>
        <w:t xml:space="preserve">Companion documents</w:t>
      </w:r>
      <w:r>
        <w:rPr>
          <w:color w:val="5A5A66"/>
          <w:sz w:val="20"/>
          <w:szCs w:val="20"/>
        </w:rPr>
        <w:t xml:space="preserve"> Product Requirements Document · OOAD Specification v3</w:t>
      </w:r>
    </w:p>
    <w:p>
      <w:r>
        <w:br w:type="page"/>
      </w:r>
    </w:p>
    <w:p>
      <w:pPr>
        <w:spacing w:after="160"/>
      </w:pPr>
      <w:r>
        <w:rPr>
          <w:b/>
          <w:bCs/>
          <w:color w:val="5D4FB3"/>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color w:val="5A5A66"/>
          <w:sz w:val="20"/>
          <w:szCs w:val="20"/>
        </w:rPr>
        <w:t xml:space="preserve">(In Word: right-click the table above → Update Field to refresh page numbers.)</w:t>
      </w:r>
    </w:p>
    <w:p>
      <w:r>
        <w:br w:type="page"/>
      </w:r>
    </w:p>
    <w:p>
      <w:pPr>
        <w:pStyle w:val="Heading1"/>
      </w:pPr>
      <w:r>
        <w:t xml:space="preserve">1. Executive summary</w:t>
      </w:r>
    </w:p>
    <w:p>
      <w:pPr>
        <w:spacing w:after="120" w:line="276"/>
      </w:pPr>
      <w:r>
        <w:rPr>
          <w:color w:val="1B1B22"/>
        </w:rPr>
        <w:t xml:space="preserve">Version 2 was a multi-tenant SaaS where each company ran its own growth tooling. Version 3 re-centres the product on </w:t>
      </w:r>
      <w:r>
        <w:rPr>
          <w:b/>
          <w:bCs/>
          <w:color w:val="1B1B22"/>
        </w:rPr>
        <w:t xml:space="preserve">Chunguza as an AI lead-generation agency</w:t>
      </w:r>
      <w:r>
        <w:rPr>
          <w:color w:val="1B1B22"/>
        </w:rPr>
        <w:t xml:space="preserve">. One agency workspace finds and signs clients. Each client gets its own workspace where the agency (and the client) finds leads, contacts them through ranked methods, books CPS meetings, follows up non-responders on a cadence, and tracks customer churn. The agency sees every client's health and churn in one place.</w:t>
      </w:r>
    </w:p>
    <w:p>
      <w:pPr>
        <w:pStyle w:val="Heading2"/>
      </w:pPr>
      <w:r>
        <w:t xml:space="preserve">1.1 What changed from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5080"/>
      </w:tblGrid>
      <w:tr>
        <w:trPr>
          <w:tblHeader/>
        </w:trPr>
        <w:tc>
          <w:tcPr>
            <w:tcW w:type="dxa" w:w="17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Area</w:t>
            </w:r>
          </w:p>
        </w:tc>
        <w:tc>
          <w:tcPr>
            <w:tcW w:type="dxa" w:w="3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v2</w:t>
            </w:r>
          </w:p>
        </w:tc>
        <w:tc>
          <w:tcPr>
            <w:tcW w:type="dxa" w:w="50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v3</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Tenancy</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Flat: one company = one tenant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Hierarchical: agency → client workspaces, switched per request with the X-Workspace-Id header</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model</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leads with one email/phone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or person leads. Unlimited labelled contacts per lead (owner, reception, WhatsApp, socials, …)</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 campaigns + call scripts</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Four ranked methods (door to door → cold call → digital → email/DM). Every attempt recorded with result and standards</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Follow-up</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Manual tasks</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Policy-driven cadence engine with method rotation and anti-spam caps, run by a scheduler</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Replies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None (send only)</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IMAP/webhook inbound, lead matching, classification, AI draft or auto reply, live SSE notifications</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Date + .ics</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CPS brief generation, outcome and notes capture, quoted price</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Retention</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None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 (import/lost with reason), customer churn, client health score, client churn, MRR</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Strategy</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 company profile</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business-profile document analysis, value pyramid (local currency), growth plan per funnel step</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 calls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Direct calls, with a temperature parameter that the current models reject</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One gateway (llm.js), effort per task, refusal fallback, shape-guarded JSON</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Lead-data providers</w:t>
            </w:r>
          </w:p>
        </w:tc>
        <w:tc>
          <w:tcPr>
            <w:tcW w:type="dxa" w:w="50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 HighLevel contact upsert, Appointwise webhook, inbound ad-lead webhooks</w:t>
            </w:r>
          </w:p>
        </w:tc>
      </w:tr>
    </w:tbl>
    <w:p>
      <w:pPr>
        <w:pStyle w:val="Heading1"/>
      </w:pPr>
      <w:r>
        <w:t xml:space="preserve">2. Goals and design principles</w:t>
      </w:r>
    </w:p>
    <w:p>
      <w:pPr>
        <w:pStyle w:val="Heading2"/>
      </w:pPr>
      <w:r>
        <w:t xml:space="preserve">2.1 Functional goals</w:t>
      </w:r>
    </w:p>
    <w:p>
      <w:pPr>
        <w:pStyle w:val="ListParagraph"/>
        <w:numPr>
          <w:ilvl w:val="0"/>
          <w:numId w:val="2"/>
        </w:numPr>
        <w:spacing w:after="60" w:line="264"/>
      </w:pPr>
      <w:r>
        <w:rPr>
          <w:color w:val="1B1B22"/>
        </w:rPr>
        <w:t xml:space="preserve">Run the agency's three stages (find, sign, get results) and each client's four-step funnel in one tool.</w:t>
      </w:r>
    </w:p>
    <w:p>
      <w:pPr>
        <w:pStyle w:val="ListParagraph"/>
        <w:numPr>
          <w:ilvl w:val="0"/>
          <w:numId w:val="2"/>
        </w:numPr>
        <w:spacing w:after="60" w:line="264"/>
      </w:pPr>
      <w:r>
        <w:rPr>
          <w:color w:val="1B1B22"/>
        </w:rPr>
        <w:t xml:space="preserve">Make every lead actionable from one drawer: all contacts, method preparation, result logging, meetings, outcome and follow-up state.</w:t>
      </w:r>
    </w:p>
    <w:p>
      <w:pPr>
        <w:pStyle w:val="ListParagraph"/>
        <w:numPr>
          <w:ilvl w:val="0"/>
          <w:numId w:val="2"/>
        </w:numPr>
        <w:spacing w:after="60" w:line="264"/>
      </w:pPr>
      <w:r>
        <w:rPr>
          <w:color w:val="1B1B22"/>
        </w:rPr>
        <w:t xml:space="preserve">Record every touch as structured data so method effectiveness, standards adherence and loss reasons can be measured and fed back into the AI.</w:t>
      </w:r>
    </w:p>
    <w:p>
      <w:pPr>
        <w:pStyle w:val="ListParagraph"/>
        <w:numPr>
          <w:ilvl w:val="0"/>
          <w:numId w:val="2"/>
        </w:numPr>
        <w:spacing w:after="60" w:line="264"/>
      </w:pPr>
      <w:r>
        <w:rPr>
          <w:color w:val="1B1B22"/>
        </w:rPr>
        <w:t xml:space="preserve">Notify people the moment a lead replies, and never let a non-responder be forgotten or spammed.</w:t>
      </w:r>
    </w:p>
    <w:p>
      <w:pPr>
        <w:pStyle w:val="Heading2"/>
      </w:pPr>
      <w:r>
        <w:t xml:space="preserve">2.2 Design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Principle</w:t>
            </w:r>
          </w:p>
        </w:tc>
        <w:tc>
          <w:tcPr>
            <w:tcW w:type="dxa" w:w="74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How it shows up</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Playbook as configuration</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src/config/playbook.js is the single source of truth for methods, results, standards, CPS, funnel, loss reasons and cadence. The UI, rules and AI prompts all read it.</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 without AI</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Every AI feature has a deterministic fallback. Model output is merged over the fallback shape (withFallback).</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Server-side tenancy</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workspace is resolved and authorised in middleware. Services always receive a companyId and never trust the client.</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Humans in the loop for outbound</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Nothing leaves the platform without a human action, except email follow-ups and auto-replies that a workspace setting explicitly enables.</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 build step</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Vanilla ES-module frontend and a single Node process, so deployment stays a single Render web service.</w:t>
            </w:r>
          </w:p>
        </w:tc>
      </w:tr>
      <w:tr>
        <w:tc>
          <w:tcPr>
            <w:tcW w:type="dxa" w:w="26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Additive migrations</w:t>
            </w:r>
          </w:p>
        </w:tc>
        <w:tc>
          <w:tcPr>
            <w:tcW w:type="dxa" w:w="74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v2 database upgrades in place on start (idempotent ALTERs, one safe table rebuild, backfills).</w:t>
            </w:r>
          </w:p>
        </w:tc>
      </w:tr>
    </w:tbl>
    <w:p>
      <w:pPr>
        <w:pStyle w:val="Heading1"/>
      </w:pPr>
      <w:r>
        <w:t xml:space="preserve">3. Architectural views</w:t>
      </w:r>
    </w:p>
    <w:p>
      <w:pPr>
        <w:pStyle w:val="Heading2"/>
      </w:pPr>
      <w:r>
        <w:t xml:space="preserve">3.1 System context</w:t>
      </w:r>
    </w:p>
    <w:p>
      <w:pPr>
        <w:keepNext/>
        <w:spacing w:after="60" w:before="120"/>
        <w:jc w:val="center"/>
      </w:pPr>
      <w:r>
        <w:drawing>
          <wp:inline distT="0" distB="0" distL="0" distR="0">
            <wp:extent cx="6400800" cy="4410075"/>
            <wp:effectExtent t="0" r="0" b="0" l="0"/>
            <wp:docPr id="1" name="context" descr="Figure 1. System context: users, Chunguza platform and external services" title="Figure 1. System context: users, Chunguza platform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410075"/>
                    </a:xfrm>
                    <a:prstGeom prst="rect">
                      <a:avLst/>
                    </a:prstGeom>
                  </pic:spPr>
                </pic:pic>
              </a:graphicData>
            </a:graphic>
          </wp:inline>
        </w:drawing>
      </w:r>
    </w:p>
    <w:p>
      <w:pPr>
        <w:spacing w:after="220"/>
        <w:jc w:val="center"/>
      </w:pPr>
      <w:r>
        <w:rPr>
          <w:i/>
          <w:iCs/>
          <w:color w:val="5A5A66"/>
          <w:sz w:val="18"/>
          <w:szCs w:val="18"/>
        </w:rPr>
        <w:t xml:space="preserve">Figure 1. System context: users, Chunguza platform and external services</w:t>
      </w:r>
    </w:p>
    <w:p>
      <w:pPr>
        <w:pStyle w:val="Heading2"/>
      </w:pPr>
      <w:r>
        <w:t xml:space="preserve">3.2 Layered module architecture</w:t>
      </w:r>
    </w:p>
    <w:p>
      <w:pPr>
        <w:keepNext/>
        <w:spacing w:after="60" w:before="120"/>
        <w:jc w:val="center"/>
      </w:pPr>
      <w:r>
        <w:drawing>
          <wp:inline distT="0" distB="0" distL="0" distR="0">
            <wp:extent cx="5991225" cy="7620000"/>
            <wp:effectExtent t="0" r="0" b="0" l="0"/>
            <wp:docPr id="1" name="layers" descr="Figure 2. Layers: browser SPA → Express routes → domain services → gateways → SQLite" title="Figure 2. Layers: browser SPA → Express routes → domain services → gateways → SQ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7620000"/>
                    </a:xfrm>
                    <a:prstGeom prst="rect">
                      <a:avLst/>
                    </a:prstGeom>
                  </pic:spPr>
                </pic:pic>
              </a:graphicData>
            </a:graphic>
          </wp:inline>
        </w:drawing>
      </w:r>
    </w:p>
    <w:p>
      <w:pPr>
        <w:spacing w:after="220"/>
        <w:jc w:val="center"/>
      </w:pPr>
      <w:r>
        <w:rPr>
          <w:i/>
          <w:iCs/>
          <w:color w:val="5A5A66"/>
          <w:sz w:val="18"/>
          <w:szCs w:val="18"/>
        </w:rPr>
        <w:t xml:space="preserve">Figure 2. Layers: browser SPA → Express routes → domain services → gateways → SQLite</w:t>
      </w:r>
    </w:p>
    <w:p>
      <w:pPr>
        <w:pStyle w:val="Heading2"/>
      </w:pPr>
      <w:r>
        <w:t xml:space="preserve">3.3 Deployment</w:t>
      </w:r>
    </w:p>
    <w:p>
      <w:pPr>
        <w:keepNext/>
        <w:spacing w:after="60" w:before="120"/>
        <w:jc w:val="center"/>
      </w:pPr>
      <w:r>
        <w:drawing>
          <wp:inline distT="0" distB="0" distL="0" distR="0">
            <wp:extent cx="6400800" cy="3238500"/>
            <wp:effectExtent t="0" r="0" b="0" l="0"/>
            <wp:docPr id="1" name="deployment" descr="Figure 3. Deployment on Render: one web service, persistent disk, in-process scheduler" title="Figure 3. Deployment on Render: one web service, persistent disk, in-process 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238500"/>
                    </a:xfrm>
                    <a:prstGeom prst="rect">
                      <a:avLst/>
                    </a:prstGeom>
                  </pic:spPr>
                </pic:pic>
              </a:graphicData>
            </a:graphic>
          </wp:inline>
        </w:drawing>
      </w:r>
    </w:p>
    <w:p>
      <w:pPr>
        <w:spacing w:after="220"/>
        <w:jc w:val="center"/>
      </w:pPr>
      <w:r>
        <w:rPr>
          <w:i/>
          <w:iCs/>
          <w:color w:val="5A5A66"/>
          <w:sz w:val="18"/>
          <w:szCs w:val="18"/>
        </w:rPr>
        <w:t xml:space="preserve">Figure 3. Deployment on Render: one web service, persistent disk, in-process scheduler</w:t>
      </w:r>
    </w:p>
    <w:p>
      <w:pPr>
        <w:pStyle w:val="Heading2"/>
      </w:pPr>
      <w:r>
        <w:t xml:space="preserve">3.4 Lead flow (sourcing → outreach → outcome)</w:t>
      </w:r>
    </w:p>
    <w:p>
      <w:pPr>
        <w:keepNext/>
        <w:spacing w:after="60" w:before="120"/>
        <w:jc w:val="center"/>
      </w:pPr>
      <w:r>
        <w:drawing>
          <wp:inline distT="0" distB="0" distL="0" distR="0">
            <wp:extent cx="3590925" cy="7620000"/>
            <wp:effectExtent t="0" r="0" b="0" l="0"/>
            <wp:docPr id="1" name="lead_flow" descr="Figure 4. Lead flow through discovery, merge, contacts, outreach, cadence and outcome" title="Figure 4. Lead flow through discovery, merge, contacts, outreach, cadence and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90925" cy="7620000"/>
                    </a:xfrm>
                    <a:prstGeom prst="rect">
                      <a:avLst/>
                    </a:prstGeom>
                  </pic:spPr>
                </pic:pic>
              </a:graphicData>
            </a:graphic>
          </wp:inline>
        </w:drawing>
      </w:r>
    </w:p>
    <w:p>
      <w:pPr>
        <w:spacing w:after="220"/>
        <w:jc w:val="center"/>
      </w:pPr>
      <w:r>
        <w:rPr>
          <w:i/>
          <w:iCs/>
          <w:color w:val="5A5A66"/>
          <w:sz w:val="18"/>
          <w:szCs w:val="18"/>
        </w:rPr>
        <w:t xml:space="preserve">Figure 4. Lead flow through discovery, merge, contacts, outreach, cadence and outcome</w:t>
      </w:r>
    </w:p>
    <w:p>
      <w:pPr>
        <w:pStyle w:val="Heading2"/>
      </w:pPr>
      <w:r>
        <w:t xml:space="preserve">3.5 Reply pipeline</w:t>
      </w:r>
    </w:p>
    <w:p>
      <w:pPr>
        <w:keepNext/>
        <w:spacing w:after="60" w:before="120"/>
        <w:jc w:val="center"/>
      </w:pPr>
      <w:r>
        <w:drawing>
          <wp:inline distT="0" distB="0" distL="0" distR="0">
            <wp:extent cx="3457575" cy="7620000"/>
            <wp:effectExtent t="0" r="0" b="0" l="0"/>
            <wp:docPr id="1" name="reply_pipeline" descr="Figure 5. Inbound reply pipeline: receive → match → classify → act → notify" title="Figure 5. Inbound reply pipeline: receive → match → classify → act → not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57575" cy="7620000"/>
                    </a:xfrm>
                    <a:prstGeom prst="rect">
                      <a:avLst/>
                    </a:prstGeom>
                  </pic:spPr>
                </pic:pic>
              </a:graphicData>
            </a:graphic>
          </wp:inline>
        </w:drawing>
      </w:r>
    </w:p>
    <w:p>
      <w:pPr>
        <w:spacing w:after="220"/>
        <w:jc w:val="center"/>
      </w:pPr>
      <w:r>
        <w:rPr>
          <w:i/>
          <w:iCs/>
          <w:color w:val="5A5A66"/>
          <w:sz w:val="18"/>
          <w:szCs w:val="18"/>
        </w:rPr>
        <w:t xml:space="preserve">Figure 5. Inbound reply pipeline: receive → match → classify → act → notify</w:t>
      </w:r>
    </w:p>
    <w:p>
      <w:r>
        <w:br w:type="page"/>
      </w:r>
    </w:p>
    <w:p>
      <w:pPr>
        <w:pStyle w:val="Heading1"/>
      </w:pPr>
      <w:r>
        <w:t xml:space="preserve">4. Tenancy and data model</w:t>
      </w:r>
    </w:p>
    <w:p>
      <w:pPr>
        <w:keepNext/>
        <w:spacing w:after="60" w:before="120"/>
        <w:jc w:val="center"/>
      </w:pPr>
      <w:r>
        <w:drawing>
          <wp:inline distT="0" distB="0" distL="0" distR="0">
            <wp:extent cx="3190875" cy="8191500"/>
            <wp:effectExtent t="0" r="0" b="0" l="0"/>
            <wp:docPr id="1" name="tenancy" descr="Figure 6. Workspace hierarchy and access rules" title="Figure 6. Workspace hierarchy and access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90875" cy="8191500"/>
                    </a:xfrm>
                    <a:prstGeom prst="rect">
                      <a:avLst/>
                    </a:prstGeom>
                  </pic:spPr>
                </pic:pic>
              </a:graphicData>
            </a:graphic>
          </wp:inline>
        </w:drawing>
      </w:r>
    </w:p>
    <w:p>
      <w:pPr>
        <w:spacing w:after="220"/>
        <w:jc w:val="center"/>
      </w:pPr>
      <w:r>
        <w:rPr>
          <w:i/>
          <w:iCs/>
          <w:color w:val="5A5A66"/>
          <w:sz w:val="18"/>
          <w:szCs w:val="18"/>
        </w:rPr>
        <w:t xml:space="preserve">Figure 6. Workspace hierarchy and access rules</w:t>
      </w:r>
    </w:p>
    <w:p>
      <w:pPr>
        <w:pStyle w:val="Heading2"/>
      </w:pPr>
      <w:r>
        <w:t xml:space="preserve">4.1 Access rules</w:t>
      </w:r>
    </w:p>
    <w:p>
      <w:pPr>
        <w:pStyle w:val="ListParagraph"/>
        <w:numPr>
          <w:ilvl w:val="0"/>
          <w:numId w:val="2"/>
        </w:numPr>
        <w:spacing w:after="60" w:line="264"/>
      </w:pPr>
      <w:r>
        <w:rPr>
          <w:color w:val="1B1B22"/>
        </w:rPr>
        <w:t xml:space="preserve">Each request carries a JWT with the user's home company. The optional X-Workspace-Id header selects the working workspace.</w:t>
      </w:r>
    </w:p>
    <w:p>
      <w:pPr>
        <w:pStyle w:val="ListParagraph"/>
        <w:numPr>
          <w:ilvl w:val="0"/>
          <w:numId w:val="2"/>
        </w:numPr>
        <w:spacing w:after="60" w:line="264"/>
      </w:pPr>
      <w:r>
        <w:rPr>
          <w:color w:val="1B1B22"/>
        </w:rPr>
        <w:t xml:space="preserve">Access is allowed when the workspace is the home company, or when the home company is an agency and the workspace's agency_id equals it. Anything else returns 403.</w:t>
      </w:r>
    </w:p>
    <w:p>
      <w:pPr>
        <w:pStyle w:val="ListParagraph"/>
        <w:numPr>
          <w:ilvl w:val="0"/>
          <w:numId w:val="2"/>
        </w:numPr>
        <w:spacing w:after="60" w:line="264"/>
      </w:pPr>
      <w:r>
        <w:rPr>
          <w:color w:val="1B1B22"/>
        </w:rPr>
        <w:t xml:space="preserve">req.auth = { userId, companyId (working workspace), homeCompanyId, role, isAgencyUser, workspaceKind }. Every query is filtered by companyId.</w:t>
      </w:r>
    </w:p>
    <w:p>
      <w:pPr>
        <w:pStyle w:val="ListParagraph"/>
        <w:numPr>
          <w:ilvl w:val="0"/>
          <w:numId w:val="2"/>
        </w:numPr>
        <w:spacing w:after="60" w:line="264"/>
      </w:pPr>
      <w:r>
        <w:rPr>
          <w:color w:val="1B1B22"/>
        </w:rPr>
        <w:t xml:space="preserve">The SSE stream authenticates with a token in the query string (EventSource cannot set headers). This is limited to that single route.</w:t>
      </w:r>
    </w:p>
    <w:p>
      <w:pPr>
        <w:pStyle w:val="Heading2"/>
      </w:pPr>
      <w:r>
        <w:t xml:space="preserve">4.2 New tables in v3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680"/>
      </w:tblGrid>
      <w:tr>
        <w:trPr>
          <w:tblHeader/>
        </w:trPr>
        <w:tc>
          <w:tcPr>
            <w:tcW w:type="dxa" w:w="21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Table</w:t>
            </w:r>
          </w:p>
        </w:tc>
        <w:tc>
          <w:tcPr>
            <w:tcW w:type="dxa" w:w="3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Purpose</w:t>
            </w:r>
          </w:p>
        </w:tc>
        <w:tc>
          <w:tcPr>
            <w:tcW w:type="dxa" w:w="46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Key columns</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lead_contacts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Every contact means per lead</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channel, value, person_name, person_role, is_decision_maker, is_primary, source</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outreach_attempts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Each touch (in or out)</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method, channel, contact_id, direction, result, spoke_to_decision_maker, standards_json, automated, occurred_at</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email_messages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Outbound and inbound email, drafts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direction, status, mode, message_id, in_reply_to, classification, auto_generated</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In-app alerts (bell + SSE)</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company_id, agency_id, type, title, body, lead_id, read_at</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The client's customers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status, tier, total_value, monthly_value, source, lead_id, lost_at, lost_reason_category</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churn_events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Lost customers, count-only losses and churned clients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subject_kind (customer|client), count, reason_category, reason_text, occurred_at</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ai_insights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Cached learning and period summaries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kind, period_key, content_json, generated_by</w:t>
            </w:r>
          </w:p>
        </w:tc>
      </w:tr>
      <w:tr>
        <w:tc>
          <w:tcPr>
            <w:tcW w:type="dxa" w:w="21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integration_events</w:t>
            </w:r>
          </w:p>
        </w:tc>
        <w:tc>
          <w:tcPr>
            <w:tcW w:type="dxa" w:w="3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HighLevel / Appointwise push log</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provider, action, lead_id, status, detail</w:t>
            </w:r>
          </w:p>
        </w:tc>
      </w:tr>
    </w:tbl>
    <w:p>
      <w:pPr>
        <w:spacing w:after="120" w:line="276"/>
      </w:pPr>
      <w:r>
        <w:rPr>
          <w:b/>
          <w:bCs/>
          <w:color w:val="1B1B22"/>
        </w:rPr>
        <w:t xml:space="preserve">companies</w:t>
      </w:r>
      <w:r>
        <w:rPr>
          <w:color w:val="1B1B22"/>
        </w:rPr>
        <w:t xml:space="preserve"> gains kind, agency_id, currency, target_market, client status/since/churn, monthly_retainer, services, ad_platform, value_pyramid_json, funnel_json, business profile text, baseline customer count, settings_json and inbound_token. </w:t>
      </w:r>
      <w:r>
        <w:rPr>
          <w:b/>
          <w:bCs/>
          <w:color w:val="1B1B22"/>
        </w:rPr>
        <w:t xml:space="preserve">leads</w:t>
      </w:r>
      <w:r>
        <w:rPr>
          <w:color w:val="1B1B22"/>
        </w:rPr>
        <w:t xml:space="preserve"> gains lead_type, website, address, preferred methods, follow-up state, loss reason, estimated value and conversion links. </w:t>
      </w:r>
      <w:r>
        <w:rPr>
          <w:b/>
          <w:bCs/>
          <w:color w:val="1B1B22"/>
        </w:rPr>
        <w:t xml:space="preserve">meetings</w:t>
      </w:r>
      <w:r>
        <w:rPr>
          <w:color w:val="1B1B22"/>
        </w:rPr>
        <w:t xml:space="preserve"> gains meeting_type, the CPS brief and notes, outcome and quoted price.</w:t>
      </w:r>
    </w:p>
    <w:p>
      <w:pPr>
        <w:pStyle w:val="Heading2"/>
      </w:pPr>
      <w:r>
        <w:t xml:space="preserve">4.3 Upgrade path from v2</w:t>
      </w:r>
    </w:p>
    <w:p>
      <w:pPr>
        <w:pStyle w:val="ListParagraph"/>
        <w:numPr>
          <w:ilvl w:val="0"/>
          <w:numId w:val="2"/>
        </w:numPr>
        <w:spacing w:after="60" w:line="264"/>
      </w:pPr>
      <w:r>
        <w:rPr>
          <w:color w:val="1B1B22"/>
        </w:rPr>
        <w:t xml:space="preserve">The migration runs on every start (`node src/db/migrate.js &amp;&amp; node src/server.js`) in four steps: upgrade guard → schema (CREATE IF NOT EXISTS) → add missing columns → relax leads.company_name → backfills.</w:t>
      </w:r>
    </w:p>
    <w:p>
      <w:pPr>
        <w:pStyle w:val="ListParagraph"/>
        <w:numPr>
          <w:ilvl w:val="0"/>
          <w:numId w:val="2"/>
        </w:numPr>
        <w:spacing w:after="60" w:line="264"/>
      </w:pPr>
      <w:r>
        <w:rPr>
          <w:color w:val="1B1B22"/>
        </w:rPr>
        <w:t xml:space="preserve">Making company_name nullable needs a table rebuild. It runs once, inside a transaction with foreign keys off, and recreates the indexes.</w:t>
      </w:r>
    </w:p>
    <w:p>
      <w:pPr>
        <w:pStyle w:val="ListParagraph"/>
        <w:numPr>
          <w:ilvl w:val="0"/>
          <w:numId w:val="2"/>
        </w:numPr>
        <w:spacing w:after="60" w:line="264"/>
      </w:pPr>
      <w:r>
        <w:rPr>
          <w:color w:val="1B1B22"/>
        </w:rPr>
        <w:t xml:space="preserve">Backfills cover the currency from the country, a unique inbound token per workspace, and lead_contacts from the legacy email/phone/linkedin columns.</w:t>
      </w:r>
    </w:p>
    <w:p>
      <w:pPr>
        <w:pStyle w:val="ListParagraph"/>
        <w:numPr>
          <w:ilvl w:val="0"/>
          <w:numId w:val="2"/>
        </w:numPr>
        <w:spacing w:after="60" w:line="264"/>
      </w:pPr>
      <w:r>
        <w:rPr>
          <w:color w:val="1B1B22"/>
        </w:rPr>
        <w:t xml:space="preserve">Existing v2 companies stay usable as stand-alone workspaces (kind = client with no agency). No data is dropped.</w:t>
      </w:r>
    </w:p>
    <w:p>
      <w:pPr>
        <w:pStyle w:val="Heading1"/>
      </w:pPr>
      <w:r>
        <w:t xml:space="preserve">5.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680"/>
      </w:tblGrid>
      <w:tr>
        <w:trPr>
          <w:tblHeader/>
        </w:trPr>
        <w:tc>
          <w:tcPr>
            <w:tcW w:type="dxa" w:w="17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Concern</w:t>
            </w:r>
          </w:p>
        </w:tc>
        <w:tc>
          <w:tcPr>
            <w:tcW w:type="dxa" w:w="37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Choice</w:t>
            </w:r>
          </w:p>
        </w:tc>
        <w:tc>
          <w:tcPr>
            <w:tcW w:type="dxa" w:w="46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Why</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Runtime</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Node 20 LTS, Express 4</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Already in use. better-sqlite3 is pinned to Node 20 and rebuilt from source on install.</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Database</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SQLite (better-sqlite3), WAL mode, on a Render disk</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Zero-ops and fast for a single instance. Postgres is the scale-out path (section 9).</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@anthropic-ai/sdk, default model claude-opus-5</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Official SDK, adaptive effort, server-side refusal fallback</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 out</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nodemailer (SMTP)</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 with any provider; Ethereal preview in development</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 in</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imapflow + mailparser, or a webhook</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Polling for any mailbox; webhooks for Postmark/Mailgun</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Documents</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fflate (docx/xlsx XML), unpdf (PDF text), Claude document input for scanned PDFs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Pure JS with no native dependencies</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Realtime</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Server-Sent Events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One-way, proxy-friendly, no extra dependency</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Auth</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JWT (jsonwebtoken), bcryptjs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Stateless and simple</w:t>
            </w:r>
          </w:p>
        </w:tc>
      </w:tr>
      <w:tr>
        <w:tc>
          <w:tcPr>
            <w:tcW w:type="dxa" w:w="1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Frontend</w:t>
            </w:r>
          </w:p>
        </w:tc>
        <w:tc>
          <w:tcPr>
            <w:tcW w:type="dxa" w:w="37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Vanilla ES modules, the ds.css design system, SVG charts</w:t>
            </w:r>
          </w:p>
        </w:tc>
        <w:tc>
          <w:tcPr>
            <w:tcW w:type="dxa" w:w="4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 build step. Charts are accessible and checked against the palette validator.</w:t>
            </w:r>
          </w:p>
        </w:tc>
      </w:tr>
    </w:tbl>
    <w:p>
      <w:pPr>
        <w:pStyle w:val="Heading1"/>
      </w:pPr>
      <w:r>
        <w:t xml:space="preserve">6. Module breakdown</w:t>
      </w:r>
    </w:p>
    <w:p>
      <w:pPr>
        <w:pStyle w:val="Heading3"/>
      </w:pPr>
      <w:r>
        <w:t xml:space="preserve">Identity, workspaces and onboarding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Module</w:t>
            </w:r>
          </w:p>
        </w:tc>
        <w:tc>
          <w:tcPr>
            <w:tcW w:type="dxa" w:w="68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Responsibility</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middleware/auth.js</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JWT verification, workspace resolution and authorisation, role guards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routes/auth.js</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Agency or client registration (agency code / invite), login, me with workspaces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Create/list/update clients, invites, health score, churn events, lead → client conversion</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companyProfileService, documentService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 company profile and business-profile extraction (docx/pdf/txt/xlsx/csv)</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valuePyramidService, strategyService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 pyramid in local currency, growth plan per funnel step</w:t>
            </w:r>
          </w:p>
        </w:tc>
      </w:tr>
    </w:tbl>
    <w:p>
      <w:pPr>
        <w:pStyle w:val="Heading3"/>
      </w:pPr>
      <w:r>
        <w:t xml:space="preserve">Leads and outreach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Module</w:t>
            </w:r>
          </w:p>
        </w:tc>
        <w:tc>
          <w:tcPr>
            <w:tcW w:type="dxa" w:w="68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Responsibility</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leadSourceRegistry + providers</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Fan-out discovery (Clay, Explorium, web research, mock) and merge by domain/email</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leadsService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shape, contacts (dedupe, labels), detail view, status advance, learning events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Prepare per method (brief, script, DM + deep link, email), record attempts, set outcomes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callsService, emailGenerationService, meetingPrepService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Playbook-grounded call scripts, bespoke emails and CPS briefs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bulkEmailService, emailService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Template or bespoke compose, merge fields, rate-limited send, unsubscribe</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cadenceService, followUpService, scheduler</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Next-touch policy, due queue, automatic email follow-ups, tasks for manual methods</w:t>
            </w:r>
          </w:p>
        </w:tc>
      </w:tr>
    </w:tbl>
    <w:p>
      <w:pPr>
        <w:pStyle w:val="Heading3"/>
      </w:pPr>
      <w:r>
        <w:t xml:space="preserve">Replies, retention and insight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Module</w:t>
            </w:r>
          </w:p>
        </w:tc>
        <w:tc>
          <w:tcPr>
            <w:tcW w:type="dxa" w:w="68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Responsibility</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inboxService, imapPoller, routes/inbound</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Receive, normalise, match, classify, draft or auto reply, opt-out handling</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Persist and publish notifications; SSE subscribers per workspace; the agency channel gets client events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 CRUD, import, lost/reactivate, baseline, count-only losses, monthly stats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analyticsService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 and agency metrics, time series, method and standards stats (julianday ranges)</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insightsService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Loss learning (AI + rules), daily and monthly summaries (cached)</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integrationsService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HighLevel upsert, Appointwise webhook, SSRF guard, event log</w:t>
            </w:r>
          </w:p>
        </w:tc>
      </w:tr>
      <w:tr>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assistantService</w:t>
            </w:r>
          </w:p>
        </w:tc>
        <w:tc>
          <w:tcPr>
            <w:tcW w:type="dxa" w:w="68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Tool-using AI agent scoped to the workspace</w:t>
            </w:r>
          </w:p>
        </w:tc>
      </w:tr>
    </w:tbl>
    <w:p>
      <w:pPr>
        <w:pStyle w:val="Heading1"/>
      </w:pPr>
      <w:r>
        <w:t xml:space="preserve">7. AI integration strategy</w:t>
      </w:r>
    </w:p>
    <w:p>
      <w:pPr>
        <w:pStyle w:val="Heading2"/>
      </w:pPr>
      <w:r>
        <w:t xml:space="preserve">7.1 One gateway: src/services/llm.js</w:t>
      </w:r>
    </w:p>
    <w:p>
      <w:pPr>
        <w:pStyle w:val="ListParagraph"/>
        <w:numPr>
          <w:ilvl w:val="0"/>
          <w:numId w:val="2"/>
        </w:numPr>
        <w:spacing w:after="60" w:line="264"/>
      </w:pPr>
      <w:r>
        <w:rPr>
          <w:color w:val="1B1B22"/>
        </w:rPr>
        <w:t xml:space="preserve">Uses the official Anthropic SDK. The model comes from ANTHROPIC_MODEL (default claude-opus-5). No temperature is sent: the current models reject it. In v2 that meant every call failed silently and fell back to templates.</w:t>
      </w:r>
    </w:p>
    <w:p>
      <w:pPr>
        <w:pStyle w:val="ListParagraph"/>
        <w:numPr>
          <w:ilvl w:val="0"/>
          <w:numId w:val="2"/>
        </w:numPr>
        <w:spacing w:after="60" w:line="264"/>
      </w:pPr>
      <w:r>
        <w:rPr>
          <w:color w:val="1B1B22"/>
        </w:rPr>
        <w:t xml:space="preserve">Sets output_config.effort per task: low for extraction, classification, emails, scripts and outreach prep; medium for profiles, value pyramids, growth plans, CPS briefs, learning and the assistant.</w:t>
      </w:r>
    </w:p>
    <w:p>
      <w:pPr>
        <w:pStyle w:val="ListParagraph"/>
        <w:numPr>
          <w:ilvl w:val="0"/>
          <w:numId w:val="2"/>
        </w:numPr>
        <w:spacing w:after="60" w:line="264"/>
      </w:pPr>
      <w:r>
        <w:rPr>
          <w:color w:val="1B1B22"/>
        </w:rPr>
        <w:t xml:space="preserve">Server-side refusal fallback (beta server-side-fallback-2026-07-01, fallbacks: "default") is enabled for claude-opus-5 and claude-fable-5-1. Set ANTHROPIC_FALLBACKS=off to disable it. echoableContent() strips pre-fallback blocks before a tool loop echoes them back.</w:t>
      </w:r>
    </w:p>
    <w:p>
      <w:pPr>
        <w:pStyle w:val="ListParagraph"/>
        <w:numPr>
          <w:ilvl w:val="0"/>
          <w:numId w:val="2"/>
        </w:numPr>
        <w:spacing w:after="60" w:line="264"/>
      </w:pPr>
      <w:r>
        <w:rPr>
          <w:color w:val="1B1B22"/>
        </w:rPr>
        <w:t xml:space="preserve">completeJson() parses loosely (code fences, leading text). withFallback() merges the output over the deterministic fallback, so missing keys never break the UI.</w:t>
      </w:r>
    </w:p>
    <w:p>
      <w:pPr>
        <w:pStyle w:val="Heading2"/>
      </w:pPr>
      <w:r>
        <w:t xml:space="preserve">7.2 Playbook-grounded prompts</w:t>
      </w:r>
    </w:p>
    <w:p>
      <w:pPr>
        <w:spacing w:after="120" w:line="276"/>
      </w:pPr>
      <w:r>
        <w:rPr>
          <w:color w:val="1B1B22"/>
        </w:rPr>
        <w:t xml:space="preserve">playbookPromptBlock() injects the method ranking, meeting standards, the CPS stages, "never pitch before the meeting", the scarcity line and the workspace booking link into every outreach prompt. The fallback templates follow the same rules, so the behaviour is consistent with or without a model.</w:t>
      </w:r>
    </w:p>
    <w:p>
      <w:pPr>
        <w:pStyle w:val="Heading2"/>
      </w:pPr>
      <w:r>
        <w:t xml:space="preserve">7.3 Per-task usage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200"/>
        <w:gridCol w:w="1580"/>
      </w:tblGrid>
      <w:tr>
        <w:trPr>
          <w:tblHeader/>
        </w:trPr>
        <w:tc>
          <w:tcPr>
            <w:tcW w:type="dxa" w:w="2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Task</w:t>
            </w:r>
          </w:p>
        </w:tc>
        <w:tc>
          <w:tcPr>
            <w:tcW w:type="dxa" w:w="30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Input</w:t>
            </w:r>
          </w:p>
        </w:tc>
        <w:tc>
          <w:tcPr>
            <w:tcW w:type="dxa" w:w="32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Output</w:t>
            </w:r>
          </w:p>
        </w:tc>
        <w:tc>
          <w:tcPr>
            <w:tcW w:type="dxa" w:w="15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Effort</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Company profile</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Description + business-profile text</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ICP, geo, scoring, outreach tone</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Value pyramid</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Industry, currency, services</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Tiers with price and take rate</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Growth plan</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Profile, pyramid, ad platform</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Funnel actions, ad plan, AI systems</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 prep / email</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contacts, history, playbook</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Brief, script, DM, email</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low</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CPS brief</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 client offer, pyramid</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Attention/Identify/Solve/Cost + objections</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Reply classify + draft</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Inbound email + thread</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Intent, draft answer</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low</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Loss learning, summaries</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Loss reasons, method stats, metrics</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Suggestions, playbook fixes</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 / low</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Assistant</w:t>
            </w:r>
          </w:p>
        </w:tc>
        <w:tc>
          <w:tcPr>
            <w:tcW w:type="dxa" w:w="3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Chat + tools</w:t>
            </w:r>
          </w:p>
        </w:tc>
        <w:tc>
          <w:tcPr>
            <w:tcW w:type="dxa" w:w="32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Actions via tools (max 8 rounds)</w:t>
            </w:r>
          </w:p>
        </w:tc>
        <w:tc>
          <w:tcPr>
            <w:tcW w:type="dxa" w:w="15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medium</w:t>
            </w:r>
          </w:p>
        </w:tc>
      </w:tr>
    </w:tbl>
    <w:p>
      <w:pPr>
        <w:pStyle w:val="Heading2"/>
      </w:pPr>
      <w:r>
        <w:t xml:space="preserve">7.4 Learning loop</w:t>
      </w:r>
    </w:p>
    <w:p>
      <w:pPr>
        <w:spacing w:after="120" w:line="276"/>
      </w:pPr>
      <w:r>
        <w:rPr>
          <w:color w:val="1B1B22"/>
        </w:rPr>
        <w:t xml:space="preserve">Outcomes and loss reasons update the v2 online scoring weights (learnFromEvent). insightsService groups losses by reason and method, applies rule-based fixes (for example "price" leads to "anchor with the free tier first"), and asks the model for richer suggestions when a key is present.</w:t>
      </w:r>
    </w:p>
    <w:p>
      <w:pPr>
        <w:pStyle w:val="Heading1"/>
      </w:pPr>
      <w:r>
        <w:t xml:space="preserve">8. Security and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Concern</w:t>
            </w:r>
          </w:p>
        </w:tc>
        <w:tc>
          <w:tcPr>
            <w:tcW w:type="dxa" w:w="76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Control</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Authentication</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JWT with JWT_SECRET (generated on Render); bcrypt password hashes</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Authorisation</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 check on every request; owner/admin for settings, invites and client changes; agency sign-up can be closed (ALLOW_AGENCY_SIGNUP=false)</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Inbound webhooks</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Per-workspace random token, timing-safe compare, payload size limit (18 MB JSON)</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Outbound webhooks</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isPublicHttpsUrl: HTTPS only, blocks private, loopback and link-local hosts (SSRF)</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Email</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HTML-escaped bodies, validated From address, unsubscribe link and List-Unsubscribe header, suppression list, warm-up and caps</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Messaging platforms</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 automated DMs. The message is prepared and a deep link opens the platform, per platform terms.</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Data protection</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Kenya DPA 2019: register with the ODPC, record a lawful basis (legitimate interest for B2B, consent for B2C marketing), honour access and deletion requests, keep data in the workspace only</w:t>
            </w:r>
          </w:p>
        </w:tc>
      </w:tr>
      <w:tr>
        <w:tc>
          <w:tcPr>
            <w:tcW w:type="dxa" w:w="2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Secrets</w:t>
            </w:r>
          </w:p>
        </w:tc>
        <w:tc>
          <w:tcPr>
            <w:tcW w:type="dxa" w:w="76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Environment variables only; .env is git-ignored; nothing secret goes to the browser</w:t>
            </w:r>
          </w:p>
        </w:tc>
      </w:tr>
    </w:tbl>
    <w:p>
      <w:pPr>
        <w:pStyle w:val="Heading1"/>
      </w:pPr>
      <w:r>
        <w:t xml:space="preserve">9. Scalability and evolution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4380"/>
      </w:tblGrid>
      <w:tr>
        <w:trPr>
          <w:tblHeader/>
        </w:trPr>
        <w:tc>
          <w:tcPr>
            <w:tcW w:type="dxa" w:w="2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Pressure</w:t>
            </w:r>
          </w:p>
        </w:tc>
        <w:tc>
          <w:tcPr>
            <w:tcW w:type="dxa" w:w="34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Now</w:t>
            </w:r>
          </w:p>
        </w:tc>
        <w:tc>
          <w:tcPr>
            <w:tcW w:type="dxa" w:w="43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Next step</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Write concurrency</w:t>
            </w:r>
          </w:p>
        </w:tc>
        <w:tc>
          <w:tcPr>
            <w:tcW w:type="dxa" w:w="3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SQLite WAL, one instance</w:t>
            </w:r>
          </w:p>
        </w:tc>
        <w:tc>
          <w:tcPr>
            <w:tcW w:type="dxa" w:w="4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Postgres (same SQL shape); move scheduler jobs to a worker</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Realtime fan-out</w:t>
            </w:r>
          </w:p>
        </w:tc>
        <w:tc>
          <w:tcPr>
            <w:tcW w:type="dxa" w:w="3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In-memory pub/sub</w:t>
            </w:r>
          </w:p>
        </w:tc>
        <w:tc>
          <w:tcPr>
            <w:tcW w:type="dxa" w:w="4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Redis pub/sub when running more than one instance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Inbound email</w:t>
            </w:r>
          </w:p>
        </w:tc>
        <w:tc>
          <w:tcPr>
            <w:tcW w:type="dxa" w:w="3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IMAP polling every 2 min</w:t>
            </w:r>
          </w:p>
        </w:tc>
        <w:tc>
          <w:tcPr>
            <w:tcW w:type="dxa" w:w="4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Provider webhooks (already supported) for instant delivery</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AI cost</w:t>
            </w:r>
          </w:p>
        </w:tc>
        <w:tc>
          <w:tcPr>
            <w:tcW w:type="dxa" w:w="3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Effort per task, cached summaries</w:t>
            </w:r>
          </w:p>
        </w:tc>
        <w:tc>
          <w:tcPr>
            <w:tcW w:type="dxa" w:w="4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Prompt caching of the playbook block; Batch API for nightly summaries</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Follow-up volume</w:t>
            </w:r>
          </w:p>
        </w:tc>
        <w:tc>
          <w:tcPr>
            <w:tcW w:type="dxa" w:w="34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Tick every 30 min, rate-limited send</w:t>
            </w:r>
          </w:p>
        </w:tc>
        <w:tc>
          <w:tcPr>
            <w:tcW w:type="dxa" w:w="43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Queue with per-domain throttles</w:t>
            </w:r>
          </w:p>
        </w:tc>
      </w:tr>
    </w:tbl>
    <w:p>
      <w:pPr>
        <w:pStyle w:val="Heading1"/>
      </w:pPr>
      <w:r>
        <w:t xml:space="preserve">10. Deployment and operations</w:t>
      </w:r>
    </w:p>
    <w:p>
      <w:pPr>
        <w:spacing w:after="120" w:line="276"/>
      </w:pPr>
      <w:r>
        <w:rPr>
          <w:color w:val="1B1B22"/>
        </w:rPr>
        <w:t xml:space="preserve">Render Blueprint (render.yaml). One web service on Node 20 with a persistent disk at /opt/render/project/src/data. The build runs `npm ci` (with a postinstall rebuild of better-sqlite3). Start runs the migration, then the server. Health check: /api/health. It auto-deploys on every push to main.</w:t>
      </w:r>
    </w:p>
    <w:p>
      <w:pPr>
        <w:pStyle w:val="Heading3"/>
      </w:pPr>
      <w:r>
        <w:t xml:space="preserve">Environment variables added in v3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3900"/>
        <w:gridCol w:w="2180"/>
      </w:tblGrid>
      <w:tr>
        <w:trPr>
          <w:tblHeader/>
        </w:trPr>
        <w:tc>
          <w:tcPr>
            <w:tcW w:type="dxa" w:w="40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Variable</w:t>
            </w:r>
          </w:p>
        </w:tc>
        <w:tc>
          <w:tcPr>
            <w:tcW w:type="dxa" w:w="39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Purpose</w:t>
            </w:r>
          </w:p>
        </w:tc>
        <w:tc>
          <w:tcPr>
            <w:tcW w:type="dxa" w:w="21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Default</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ANTHROPIC_MODEL / ANTHROPIC_FALLBACKS</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Model id; set "off" to disable the refusal fallback</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claude-opus-5 / on</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IMAP_HOST, IMAP_PORT, IMAP_SECURE, IMAP_USER, IMAP_PASS, IMAP_MAILBOX</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Reply mailbox to poll</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unset (off), 993, true, INBOX</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IMAP_WORKSPACE_ID, IMAP_POLL_MINUTES</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Which workspace owns the mailbox (an agency inbox also matches its clients' leads); poll interval</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first agency workspace; 2</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FOLLOWUP_ENGINE_ENABLED, FOLLOWUP_ENGINE_INTERVAL_MINUTES</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Automatic cadence runner</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true, 30</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HIGHLEVEL_API_KEY, HIGHLEVEL_LOCATION_ID, HIGHLEVEL_API_BASE</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HighLevel contact upsert</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unset; services.leadconnectorhq.com</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APPOINTWISE_WEBHOOK_URL</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Appointwise hand-off (a per-workspace setting overrides it)</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unset</w:t>
            </w:r>
          </w:p>
        </w:tc>
      </w:tr>
      <w:tr>
        <w:tc>
          <w:tcPr>
            <w:tcW w:type="dxa" w:w="40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ALLOW_AGENCY_SIGNUP</w:t>
            </w:r>
          </w:p>
        </w:tc>
        <w:tc>
          <w:tcPr>
            <w:tcW w:type="dxa" w:w="39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Set false to block further agency sign-ups once one agency exists</w:t>
            </w:r>
          </w:p>
        </w:tc>
        <w:tc>
          <w:tcPr>
            <w:tcW w:type="dxa" w:w="21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allowed</w:t>
            </w:r>
          </w:p>
        </w:tc>
      </w:tr>
    </w:tbl>
    <w:p>
      <w:pPr>
        <w:pStyle w:val="Heading1"/>
      </w:pPr>
      <w:r>
        <w:t xml:space="preserve">11. API surface (v3)</w:t>
      </w:r>
    </w:p>
    <w:p>
      <w:pPr>
        <w:spacing w:after="120"/>
      </w:pPr>
      <w:r>
        <w:rPr>
          <w:color w:val="5A5A66"/>
          <w:sz w:val="20"/>
          <w:szCs w:val="20"/>
        </w:rPr>
        <w:t xml:space="preserve">All routes are under /api and require a Bearer token unless marked public. The X-Workspace-Id header selects the workspace.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Router</w:t>
            </w:r>
          </w:p>
        </w:tc>
        <w:tc>
          <w:tcPr>
            <w:tcW w:type="dxa" w:w="7780"/>
            <w:tcBorders>
              <w:top w:val="single" w:color="D9D6EC" w:sz="4"/>
              <w:left w:val="single" w:color="D9D6EC" w:sz="4"/>
              <w:bottom w:val="single" w:color="D9D6EC" w:sz="4"/>
              <w:right w:val="single" w:color="D9D6EC" w:sz="4"/>
            </w:tcBorders>
            <w:shd w:fill="EDEAFB" w:color="auto" w:val="clear"/>
            <w:tcMar>
              <w:top w:type="dxa" w:w="60"/>
              <w:left w:type="dxa" w:w="100"/>
              <w:bottom w:type="dxa" w:w="60"/>
              <w:right w:type="dxa" w:w="100"/>
            </w:tcMar>
          </w:tcPr>
          <w:p>
            <w:pPr>
              <w:spacing w:after="40"/>
            </w:pPr>
            <w:r>
              <w:rPr>
                <w:b/>
                <w:bCs/>
                <w:color w:val="5D4FB3"/>
                <w:sz w:val="19"/>
                <w:szCs w:val="19"/>
              </w:rPr>
              <w:t xml:space="preserve">Endpoints</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auth</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POST /register, POST /login, GET /me, GET /agency/:code (public)</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workspaces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 GET /current, GET|POST /clients, PATCH /clients/:id, GET /clients/:id/health, POST /clients/:id/invite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companies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GET|PUT /me, POST /me/regenerate, POST /me/regenerate-profile, POST /me/business-profile, GET|PUT /me/value-pyramid, GET|PUT /me/settings, GET|PUT /me/directions</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leads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POST /discover, GET /, GET /sources, POST /, POST /import, GET /:id, POST /:id/contacts, DELETE /:id/contacts/:contactId, POST /:id/outcome, POST /:id/convert-to-client, POST /:id/follow-up, POST /:id/feedback, PATCH /:id</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outreach</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POST /prepare, POST|GET /attempts, POST /email/compose, POST /email/send, POST /meeting-brief</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followups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/due, POST /run</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inbox</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 POST /:emailId/send, DELETE /:emailId, POST /simulate-reply, POST /poll</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inbound (public, token)</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POST /email/:token, POST /lead/:token</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notifications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/stream (SSE), GET /, POST /read</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customers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 GET /stats, POST /, POST /import, PUT /baseline, POST /lost-count, POST /:id/lost, POST /:id/reactivate</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analytics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/overview, GET /timeseries, GET /summary, GET /agency, GET|POST /learning</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integrations, playbook</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 POST /:provider/push · GET /</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meetings</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GET /, POST /, GET /:id/ics, POST /:id/brief, PATCH /:id</w:t>
            </w:r>
          </w:p>
        </w:tc>
      </w:tr>
      <w:tr>
        <w:tc>
          <w:tcPr>
            <w:tcW w:type="dxa" w:w="230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v2 (kept)</w:t>
            </w:r>
          </w:p>
        </w:tc>
        <w:tc>
          <w:tcPr>
            <w:tcW w:type="dxa" w:w="7780"/>
            <w:tcBorders>
              <w:top w:val="single" w:color="D9D6EC" w:sz="4"/>
              <w:left w:val="single" w:color="D9D6EC" w:sz="4"/>
              <w:bottom w:val="single" w:color="D9D6EC" w:sz="4"/>
              <w:right w:val="single" w:color="D9D6EC" w:sz="4"/>
            </w:tcBorders>
            <w:tcMar>
              <w:top w:type="dxa" w:w="60"/>
              <w:left w:type="dxa" w:w="100"/>
              <w:bottom w:type="dxa" w:w="60"/>
              <w:right w:type="dxa" w:w="100"/>
            </w:tcMar>
          </w:tcPr>
          <w:p>
            <w:pPr>
              <w:spacing w:after="40"/>
            </w:pPr>
            <w:r>
              <w:rPr>
                <w:b w:val="false"/>
                <w:bCs w:val="false"/>
                <w:color w:val="1B1B22"/>
                <w:sz w:val="19"/>
                <w:szCs w:val="19"/>
              </w:rPr>
              <w:t xml:space="preserve">campaigns, calls, tasks, assistant, content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6"/>
        <w:szCs w:val="16"/>
      </w:rPr>
      <w:t xml:space="preserve">Chunguza · Architecture Plan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1B22"/>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5D4FB3"/>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1B1B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ad786db694076964c7630a5c8e4d547cfccd7.png"/><Relationship Id="rId10" Type="http://schemas.openxmlformats.org/officeDocument/2006/relationships/image" Target="media/0d39527e0612d0c7b304d6931050ac74e1012c4d.png"/><Relationship Id="rId11" Type="http://schemas.openxmlformats.org/officeDocument/2006/relationships/image" Target="media/4b247ebbfda9cc8747d17c1762d6ea113dd1fda0.png"/><Relationship Id="rId12" Type="http://schemas.openxmlformats.org/officeDocument/2006/relationships/image" Target="media/06f356151a2853543e41f0255294add46efb0479.png"/><Relationship Id="rId13" Type="http://schemas.openxmlformats.org/officeDocument/2006/relationships/image" Target="media/416d832438b1b43c2dd3000cb3dfebdba5d1ff0c.png"/><Relationship Id="rId14" Type="http://schemas.openxmlformats.org/officeDocument/2006/relationships/image" Target="media/57a9a90276a52ec1eadb5eb4a811f54232d5e3d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Chunguza · Architecture Plan v3</dc:title>
  <dc:creator>Chunguza</dc:creator>
  <dc:description>Chunguza · Architecture Plan v3</dc:description>
  <cp:lastModifiedBy>Un-named</cp:lastModifiedBy>
  <cp:revision>1</cp:revision>
  <dcterms:created xsi:type="dcterms:W3CDTF">2026-09-26T22:27:41.914Z</dcterms:created>
  <dcterms:modified xsi:type="dcterms:W3CDTF">2026-09-26T22:27:41.914Z</dcterms:modified>
</cp:coreProperties>
</file>

<file path=docProps/custom.xml><?xml version="1.0" encoding="utf-8"?>
<Properties xmlns="http://schemas.openxmlformats.org/officeDocument/2006/custom-properties" xmlns:vt="http://schemas.openxmlformats.org/officeDocument/2006/docPropsVTypes"/>
</file>