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5D4FB3"/>
          <w:spacing w:val="40"/>
          <w:sz w:val="22"/>
          <w:szCs w:val="22"/>
        </w:rPr>
        <w:t xml:space="preserve">CHUNGUZA GROWTH PLATFORM</w:t>
      </w:r>
    </w:p>
    <w:p>
      <w:pPr>
        <w:spacing w:after="200"/>
      </w:pPr>
      <w:r>
        <w:rPr>
          <w:b/>
          <w:bCs/>
          <w:color w:val="1B1B22"/>
          <w:sz w:val="60"/>
          <w:szCs w:val="60"/>
        </w:rPr>
        <w:t xml:space="preserve">OOAD Specification</w:t>
      </w:r>
    </w:p>
    <w:p>
      <w:pPr>
        <w:pBdr>
          <w:bottom w:val="single" w:color="5D4FB3" w:sz="8" w:space="12"/>
        </w:pBdr>
        <w:spacing w:after="360"/>
      </w:pPr>
      <w:r>
        <w:rPr>
          <w:color w:val="5A5A66"/>
          <w:sz w:val="26"/>
          <w:szCs w:val="26"/>
        </w:rPr>
        <w:t xml:space="preserve">Object-oriented analysis and design for the agency platform</w:t>
      </w:r>
    </w:p>
    <w:p>
      <w:pPr>
        <w:spacing w:after="60"/>
      </w:pPr>
      <w:r>
        <w:rPr>
          <w:b/>
          <w:bCs/>
          <w:color w:val="5A5A66"/>
          <w:sz w:val="20"/>
          <w:szCs w:val="20"/>
        </w:rPr>
        <w:t xml:space="preserve">Version</w:t>
      </w:r>
      <w:r>
        <w:rPr>
          <w:color w:val="5A5A66"/>
          <w:sz w:val="20"/>
          <w:szCs w:val="20"/>
        </w:rPr>
        <w:t xml:space="preserve"> 3.0 (refines v2.0 of 17 Sep 2026)  ·  </w:t>
      </w:r>
      <w:r>
        <w:rPr>
          <w:b/>
          <w:bCs/>
          <w:color w:val="5A5A66"/>
          <w:sz w:val="20"/>
          <w:szCs w:val="20"/>
        </w:rPr>
        <w:t xml:space="preserve">Date</w:t>
      </w:r>
      <w:r>
        <w:rPr>
          <w:color w:val="5A5A66"/>
          <w:sz w:val="20"/>
          <w:szCs w:val="20"/>
        </w:rPr>
        <w:t xml:space="preserve"> 25 September 2026</w:t>
      </w:r>
    </w:p>
    <w:p>
      <w:pPr>
        <w:spacing w:after="60"/>
      </w:pPr>
      <w:r>
        <w:rPr>
          <w:b/>
          <w:bCs/>
          <w:color w:val="5A5A66"/>
          <w:sz w:val="20"/>
          <w:szCs w:val="20"/>
        </w:rPr>
        <w:t xml:space="preserve">Companion documents</w:t>
      </w:r>
      <w:r>
        <w:rPr>
          <w:color w:val="5A5A66"/>
          <w:sz w:val="20"/>
          <w:szCs w:val="20"/>
        </w:rPr>
        <w:t xml:space="preserve"> Product Requirements Document · Architecture Plan v3</w:t>
      </w:r>
    </w:p>
    <w:p>
      <w:r>
        <w:br w:type="page"/>
      </w:r>
    </w:p>
    <w:p>
      <w:pPr>
        <w:spacing w:after="160"/>
      </w:pPr>
      <w:r>
        <w:rPr>
          <w:b/>
          <w:bCs/>
          <w:color w:val="5D4FB3"/>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color w:val="5A5A66"/>
          <w:sz w:val="20"/>
          <w:szCs w:val="20"/>
        </w:rPr>
        <w:t xml:space="preserve">(In Word: right-click the table above → Update Field to refresh page numbers.)</w:t>
      </w:r>
    </w:p>
    <w:p>
      <w:r>
        <w:br w:type="page"/>
      </w:r>
    </w:p>
    <w:p>
      <w:pPr>
        <w:pStyle w:val="Heading1"/>
      </w:pPr>
      <w:r>
        <w:t xml:space="preserve">1. Introduction and approach</w:t>
      </w:r>
    </w:p>
    <w:p>
      <w:pPr>
        <w:spacing w:after="120" w:line="276"/>
      </w:pPr>
      <w:r>
        <w:rPr>
          <w:color w:val="1B1B22"/>
        </w:rPr>
        <w:t xml:space="preserve">This specification models the domain objects and behaviour of release 3.0. The code is written in plain JavaScript with services and SQLite tables rather than ORM classes, so each class below maps to a table (its state) plus a service module (its behaviour). Section 8 gives that mapping for every requirement.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6780"/>
        <w:gridCol w:w="1500"/>
      </w:tblGrid>
      <w:tr>
        <w:trPr>
          <w:tblHeader/>
        </w:trPr>
        <w:tc>
          <w:tcPr>
            <w:tcW w:type="dxa" w:w="18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Diagram</w:t>
            </w:r>
          </w:p>
        </w:tc>
        <w:tc>
          <w:tcPr>
            <w:tcW w:type="dxa" w:w="678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Purpose</w:t>
            </w:r>
          </w:p>
        </w:tc>
        <w:tc>
          <w:tcPr>
            <w:tcW w:type="dxa" w:w="15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Section</w:t>
            </w:r>
          </w:p>
        </w:tc>
      </w:tr>
      <w:tr>
        <w:tc>
          <w:tcPr>
            <w:tcW w:type="dxa" w:w="18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Class</w:t>
            </w:r>
          </w:p>
        </w:tc>
        <w:tc>
          <w:tcPr>
            <w:tcW w:type="dxa" w:w="67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Tenancy and strategy; leads and outreach; retention, insight and integrations</w:t>
            </w:r>
          </w:p>
        </w:tc>
        <w:tc>
          <w:tcPr>
            <w:tcW w:type="dxa" w:w="15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2</w:t>
            </w:r>
          </w:p>
        </w:tc>
      </w:tr>
      <w:tr>
        <w:tc>
          <w:tcPr>
            <w:tcW w:type="dxa" w:w="18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Object</w:t>
            </w:r>
          </w:p>
        </w:tc>
        <w:tc>
          <w:tcPr>
            <w:tcW w:type="dxa" w:w="67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 concrete agency with one dental client, one lead and its touches</w:t>
            </w:r>
          </w:p>
        </w:tc>
        <w:tc>
          <w:tcPr>
            <w:tcW w:type="dxa" w:w="15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3</w:t>
            </w:r>
          </w:p>
        </w:tc>
      </w:tr>
      <w:tr>
        <w:tc>
          <w:tcPr>
            <w:tcW w:type="dxa" w:w="18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State machine</w:t>
            </w:r>
          </w:p>
        </w:tc>
        <w:tc>
          <w:tcPr>
            <w:tcW w:type="dxa" w:w="67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The lead lifecycle driven by attempt results and outcomes</w:t>
            </w:r>
          </w:p>
        </w:tc>
        <w:tc>
          <w:tcPr>
            <w:tcW w:type="dxa" w:w="15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4</w:t>
            </w:r>
          </w:p>
        </w:tc>
      </w:tr>
      <w:tr>
        <w:tc>
          <w:tcPr>
            <w:tcW w:type="dxa" w:w="18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Sequence</w:t>
            </w:r>
          </w:p>
        </w:tc>
        <w:tc>
          <w:tcPr>
            <w:tcW w:type="dxa" w:w="67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Registration, outreach, bulk email, replies, meetings, cadence, assistant</w:t>
            </w:r>
          </w:p>
        </w:tc>
        <w:tc>
          <w:tcPr>
            <w:tcW w:type="dxa" w:w="15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5</w:t>
            </w:r>
          </w:p>
        </w:tc>
      </w:tr>
      <w:tr>
        <w:tc>
          <w:tcPr>
            <w:tcW w:type="dxa" w:w="18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Activity</w:t>
            </w:r>
          </w:p>
        </w:tc>
        <w:tc>
          <w:tcPr>
            <w:tcW w:type="dxa" w:w="67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Cadence decision, client health sweep, value pyramid computation</w:t>
            </w:r>
          </w:p>
        </w:tc>
        <w:tc>
          <w:tcPr>
            <w:tcW w:type="dxa" w:w="15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6</w:t>
            </w:r>
          </w:p>
        </w:tc>
      </w:tr>
    </w:tbl>
    <w:p>
      <w:pPr>
        <w:pBdr>
          <w:left w:val="single" w:color="5D4FB3" w:sz="18" w:space="8"/>
        </w:pBdr>
        <w:shd w:fill="F4F2FD" w:color="auto" w:val="clear"/>
        <w:spacing w:after="160" w:before="120"/>
        <w:ind w:left="180" w:right="120"/>
      </w:pPr>
      <w:r>
        <w:rPr>
          <w:b/>
          <w:bCs/>
          <w:color w:val="1B1B22"/>
          <w:sz w:val="21"/>
          <w:szCs w:val="21"/>
        </w:rPr>
        <w:t xml:space="preserve">Changes from v2:</w:t>
      </w:r>
      <w:r>
        <w:rPr>
          <w:color w:val="1B1B22"/>
          <w:sz w:val="21"/>
          <w:szCs w:val="21"/>
        </w:rPr>
        <w:t xml:space="preserve"> Company became hierarchical (agency → clients). Lead gained LeadContact, OutreachAttempt and EmailMessage. New classes: Cadence, Playbook, Customer, ChurnEvent, ValuePyramid, GrowthPlan, Notification, AIInsight and the IntegrationAdapter family. All model calls go through one LLM gateway.</w:t>
      </w:r>
    </w:p>
    <w:p>
      <w:pPr>
        <w:pStyle w:val="Heading1"/>
      </w:pPr>
      <w:r>
        <w:t xml:space="preserve">2. Class diagrams</w:t>
      </w:r>
    </w:p>
    <w:p>
      <w:pPr>
        <w:pStyle w:val="Heading2"/>
      </w:pPr>
      <w:r>
        <w:t xml:space="preserve">2.1 Tenancy and strategy</w:t>
      </w:r>
    </w:p>
    <w:p>
      <w:pPr>
        <w:keepNext/>
        <w:spacing w:after="60" w:before="120"/>
        <w:jc w:val="center"/>
      </w:pPr>
      <w:r>
        <w:drawing>
          <wp:inline distT="0" distB="0" distL="0" distR="0">
            <wp:extent cx="5429250" cy="7620000"/>
            <wp:effectExtent t="0" r="0" b="0" l="0"/>
            <wp:docPr id="1" name="class_tenancy" descr="Figure 1. Company hierarchy, users and per-workspace strategy objects" title="Figure 1. Company hierarchy, users and per-workspace strategy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7620000"/>
                    </a:xfrm>
                    <a:prstGeom prst="rect">
                      <a:avLst/>
                    </a:prstGeom>
                  </pic:spPr>
                </pic:pic>
              </a:graphicData>
            </a:graphic>
          </wp:inline>
        </w:drawing>
      </w:r>
    </w:p>
    <w:p>
      <w:pPr>
        <w:spacing w:after="220"/>
        <w:jc w:val="center"/>
      </w:pPr>
      <w:r>
        <w:rPr>
          <w:i/>
          <w:iCs/>
          <w:color w:val="5A5A66"/>
          <w:sz w:val="18"/>
          <w:szCs w:val="18"/>
        </w:rPr>
        <w:t xml:space="preserve">Figure 1. Company hierarchy, users and per-workspace strategy objects</w:t>
      </w:r>
    </w:p>
    <w:p>
      <w:pPr>
        <w:pStyle w:val="Heading2"/>
      </w:pPr>
      <w:r>
        <w:t xml:space="preserve">2.2 Leads and outreach</w:t>
      </w:r>
    </w:p>
    <w:p>
      <w:pPr>
        <w:keepNext/>
        <w:spacing w:after="60" w:before="120"/>
        <w:jc w:val="center"/>
      </w:pPr>
      <w:r>
        <w:drawing>
          <wp:inline distT="0" distB="0" distL="0" distR="0">
            <wp:extent cx="6400800" cy="5172075"/>
            <wp:effectExtent t="0" r="0" b="0" l="0"/>
            <wp:docPr id="1" name="class_outreach" descr="Figure 2. Lead aggregate, outreach, meetings, cadence and playbook" title="Figure 2. Lead aggregate, outreach, meetings, cadence and play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5172075"/>
                    </a:xfrm>
                    <a:prstGeom prst="rect">
                      <a:avLst/>
                    </a:prstGeom>
                  </pic:spPr>
                </pic:pic>
              </a:graphicData>
            </a:graphic>
          </wp:inline>
        </w:drawing>
      </w:r>
    </w:p>
    <w:p>
      <w:pPr>
        <w:spacing w:after="220"/>
        <w:jc w:val="center"/>
      </w:pPr>
      <w:r>
        <w:rPr>
          <w:i/>
          <w:iCs/>
          <w:color w:val="5A5A66"/>
          <w:sz w:val="18"/>
          <w:szCs w:val="18"/>
        </w:rPr>
        <w:t xml:space="preserve">Figure 2. Lead aggregate, outreach, meetings, cadence and playbook</w:t>
      </w:r>
    </w:p>
    <w:p>
      <w:pPr>
        <w:pStyle w:val="Heading2"/>
      </w:pPr>
      <w:r>
        <w:t xml:space="preserve">2.3 Retention, insight and integrations</w:t>
      </w:r>
    </w:p>
    <w:p>
      <w:pPr>
        <w:keepNext/>
        <w:spacing w:after="60" w:before="120"/>
        <w:jc w:val="center"/>
      </w:pPr>
      <w:r>
        <w:drawing>
          <wp:inline distT="0" distB="0" distL="0" distR="0">
            <wp:extent cx="6400800" cy="6800850"/>
            <wp:effectExtent t="0" r="0" b="0" l="0"/>
            <wp:docPr id="1" name="class_growth" descr="Figure 3. Customers, churn, analytics, AI insight, assistant and integration adapters" title="Figure 3. Customers, churn, analytics, AI insight, assistant and integration adap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6800850"/>
                    </a:xfrm>
                    <a:prstGeom prst="rect">
                      <a:avLst/>
                    </a:prstGeom>
                  </pic:spPr>
                </pic:pic>
              </a:graphicData>
            </a:graphic>
          </wp:inline>
        </w:drawing>
      </w:r>
    </w:p>
    <w:p>
      <w:pPr>
        <w:spacing w:after="220"/>
        <w:jc w:val="center"/>
      </w:pPr>
      <w:r>
        <w:rPr>
          <w:i/>
          <w:iCs/>
          <w:color w:val="5A5A66"/>
          <w:sz w:val="18"/>
          <w:szCs w:val="18"/>
        </w:rPr>
        <w:t xml:space="preserve">Figure 3. Customers, churn, analytics, AI insight, assistant and integration adapters</w:t>
      </w:r>
    </w:p>
    <w:p>
      <w:pPr>
        <w:pStyle w:val="Heading2"/>
      </w:pPr>
      <w:r>
        <w:t xml:space="preserve">2.4 Class descriptions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5080"/>
        <w:gridCol w:w="2700"/>
      </w:tblGrid>
      <w:tr>
        <w:trPr>
          <w:tblHeader/>
        </w:trPr>
        <w:tc>
          <w:tcPr>
            <w:tcW w:type="dxa" w:w="23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Class</w:t>
            </w:r>
          </w:p>
        </w:tc>
        <w:tc>
          <w:tcPr>
            <w:tcW w:type="dxa" w:w="508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Responsibility</w:t>
            </w:r>
          </w:p>
        </w:tc>
        <w:tc>
          <w:tcPr>
            <w:tcW w:type="dxa" w:w="27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Persistence / module</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Company</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 workspace. kind = agency or client; a client refers to its agency. Holds currency, services, ad platform and client status.</w:t>
            </w:r>
          </w:p>
        </w:tc>
        <w:tc>
          <w:tcPr>
            <w:tcW w:type="dxa" w:w="2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companies · workspaceService</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User</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 person who logs in to one home company, with a role (owner, admin, member)</w:t>
            </w:r>
          </w:p>
        </w:tc>
        <w:tc>
          <w:tcPr>
            <w:tcW w:type="dxa" w:w="2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users · routes/auth</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AIProfile</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ICP, geo scope, scoring and outreach tone derived from the description and business profile</w:t>
            </w:r>
          </w:p>
        </w:tc>
        <w:tc>
          <w:tcPr>
            <w:tcW w:type="dxa" w:w="2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companies.ai_* · companyProfileService</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ValuePyramid / ValueTier</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Offers from free to lifetime value with price and take rate; computes value per customer and per lead</w:t>
            </w:r>
          </w:p>
        </w:tc>
        <w:tc>
          <w:tcPr>
            <w:tcW w:type="dxa" w:w="2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value_pyramid_json · valuePyramidService</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GrowthPlan</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Actions per funnel step, ad plan, lead magnet, AI systems</w:t>
            </w:r>
          </w:p>
        </w:tc>
        <w:tc>
          <w:tcPr>
            <w:tcW w:type="dxa" w:w="2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funnel_json · strategyService</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WorkspaceSettings</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Reply mode, auto follow-ups, booking link, targets, cadence, integration settings</w:t>
            </w:r>
          </w:p>
        </w:tc>
        <w:tc>
          <w:tcPr>
            <w:tcW w:type="dxa" w:w="2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settings_json · directionsService</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Lead</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 business or person being pursued. Holds its status, follow-up state, outcome and loss reason.</w:t>
            </w:r>
          </w:p>
        </w:tc>
        <w:tc>
          <w:tcPr>
            <w:tcW w:type="dxa" w:w="2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leads · leadsService</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LeadContact</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One contact means (phone, email, WhatsApp, social, …) and the person it belongs to</w:t>
            </w:r>
          </w:p>
        </w:tc>
        <w:tc>
          <w:tcPr>
            <w:tcW w:type="dxa" w:w="2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lead_contacts · leadsService</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OutreachAttempt</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One touch: method, channel, result, the standards met, notes</w:t>
            </w:r>
          </w:p>
        </w:tc>
        <w:tc>
          <w:tcPr>
            <w:tcW w:type="dxa" w:w="2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outreach_attempts · outreachService</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EmailMessage</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Outbound, inbound or draft email with threading and classification</w:t>
            </w:r>
          </w:p>
        </w:tc>
        <w:tc>
          <w:tcPr>
            <w:tcW w:type="dxa" w:w="2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email_messages · bulkEmailService, inboxService</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Meeting</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 booked meeting with its CPS brief, notes, outcome and quoted price</w:t>
            </w:r>
          </w:p>
        </w:tc>
        <w:tc>
          <w:tcPr>
            <w:tcW w:type="dxa" w:w="2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meetings · meetingsService, meetingPrepService</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Task</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 manual follow-up (door to door, call, DM) for a rep</w:t>
            </w:r>
          </w:p>
        </w:tc>
        <w:tc>
          <w:tcPr>
            <w:tcW w:type="dxa" w:w="2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tasks · followUpService</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Cadence</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Policy that decides when the next touch happens and with which method</w:t>
            </w:r>
          </w:p>
        </w:tc>
        <w:tc>
          <w:tcPr>
            <w:tcW w:type="dxa" w:w="2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cadenceService (config in settings)</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Playbook</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Static configuration: methods, results, standards, CPS, funnel, loss reasons</w:t>
            </w:r>
          </w:p>
        </w:tc>
        <w:tc>
          <w:tcPr>
            <w:tcW w:type="dxa" w:w="2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src/config/playbook.js</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Customer</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 customer of a client, active or lost with a reason</w:t>
            </w:r>
          </w:p>
        </w:tc>
        <w:tc>
          <w:tcPr>
            <w:tcW w:type="dxa" w:w="2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customers · customersService</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ChurnEvent</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 loss of a customer (or a count of customers) or of a client</w:t>
            </w:r>
          </w:p>
        </w:tc>
        <w:tc>
          <w:tcPr>
            <w:tcW w:type="dxa" w:w="2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churn_events · customersService, workspaceService</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Notification</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An alert delivered to the bell and pushed over SSE</w:t>
            </w:r>
          </w:p>
        </w:tc>
        <w:tc>
          <w:tcPr>
            <w:tcW w:type="dxa" w:w="2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notifications · notificationService</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AIInsight</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Cached learning output or period summary</w:t>
            </w:r>
          </w:p>
        </w:tc>
        <w:tc>
          <w:tcPr>
            <w:tcW w:type="dxa" w:w="2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ai_insights · insightsService</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IntegrationAdapter</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Pushes a lead to HighLevel or Appointwise and logs the result</w:t>
            </w:r>
          </w:p>
        </w:tc>
        <w:tc>
          <w:tcPr>
            <w:tcW w:type="dxa" w:w="2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integration_events · integrationsService</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LLM</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Gateway to Claude with a fallback-aware JSON helper</w:t>
            </w:r>
          </w:p>
        </w:tc>
        <w:tc>
          <w:tcPr>
            <w:tcW w:type="dxa" w:w="2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src/services/llm.js</w:t>
            </w:r>
          </w:p>
        </w:tc>
      </w:tr>
    </w:tbl>
    <w:p>
      <w:r>
        <w:br w:type="page"/>
      </w:r>
    </w:p>
    <w:p>
      <w:pPr>
        <w:pStyle w:val="Heading1"/>
      </w:pPr>
      <w:r>
        <w:t xml:space="preserve">3. Object diagram: instance snapshot</w:t>
      </w:r>
    </w:p>
    <w:p>
      <w:pPr>
        <w:keepNext/>
        <w:spacing w:after="60" w:before="120"/>
        <w:jc w:val="center"/>
      </w:pPr>
      <w:r>
        <w:drawing>
          <wp:inline distT="0" distB="0" distL="0" distR="0">
            <wp:extent cx="6400800" cy="4210050"/>
            <wp:effectExtent t="0" r="0" b="0" l="0"/>
            <wp:docPr id="1" name="objects" descr="Figure 4. Chunguza agency, a dental client and one lead with contacts, attempts and a meeting" title="Figure 4. Chunguza agency, a dental client and one lead with contacts, attempts and a me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4210050"/>
                    </a:xfrm>
                    <a:prstGeom prst="rect">
                      <a:avLst/>
                    </a:prstGeom>
                  </pic:spPr>
                </pic:pic>
              </a:graphicData>
            </a:graphic>
          </wp:inline>
        </w:drawing>
      </w:r>
    </w:p>
    <w:p>
      <w:pPr>
        <w:spacing w:after="220"/>
        <w:jc w:val="center"/>
      </w:pPr>
      <w:r>
        <w:rPr>
          <w:i/>
          <w:iCs/>
          <w:color w:val="5A5A66"/>
          <w:sz w:val="18"/>
          <w:szCs w:val="18"/>
        </w:rPr>
        <w:t xml:space="preserve">Figure 4. Chunguza agency, a dental client and one lead with contacts, attempts and a meeting</w:t>
      </w:r>
    </w:p>
    <w:p>
      <w:pPr>
        <w:spacing w:after="120" w:line="276"/>
      </w:pPr>
      <w:r>
        <w:rPr>
          <w:color w:val="1B1B22"/>
        </w:rPr>
        <w:t xml:space="preserve">The snapshot shows the key rule of the model: the lead belongs to the </w:t>
      </w:r>
      <w:r>
        <w:rPr>
          <w:b/>
          <w:bCs/>
          <w:color w:val="1B1B22"/>
        </w:rPr>
        <w:t xml:space="preserve">client</w:t>
      </w:r>
      <w:r>
        <w:rPr>
          <w:color w:val="1B1B22"/>
        </w:rPr>
        <w:t xml:space="preserve"> workspace. The agency sees it only by opening that workspace, while the agency's notification channel also receives the client's reply events.</w:t>
      </w:r>
    </w:p>
    <w:p>
      <w:pPr>
        <w:pStyle w:val="Heading1"/>
      </w:pPr>
      <w:r>
        <w:t xml:space="preserve">4. Lead state model</w:t>
      </w:r>
    </w:p>
    <w:p>
      <w:pPr>
        <w:keepNext/>
        <w:spacing w:after="60" w:before="120"/>
        <w:jc w:val="center"/>
      </w:pPr>
      <w:r>
        <w:drawing>
          <wp:inline distT="0" distB="0" distL="0" distR="0">
            <wp:extent cx="4257675" cy="6667500"/>
            <wp:effectExtent t="0" r="0" b="0" l="0"/>
            <wp:docPr id="1" name="lead_states" descr="Figure 5. Lead lifecycle" title="Figure 5. Lead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57675" cy="6667500"/>
                    </a:xfrm>
                    <a:prstGeom prst="rect">
                      <a:avLst/>
                    </a:prstGeom>
                  </pic:spPr>
                </pic:pic>
              </a:graphicData>
            </a:graphic>
          </wp:inline>
        </w:drawing>
      </w:r>
    </w:p>
    <w:p>
      <w:pPr>
        <w:spacing w:after="220"/>
        <w:jc w:val="center"/>
      </w:pPr>
      <w:r>
        <w:rPr>
          <w:i/>
          <w:iCs/>
          <w:color w:val="5A5A66"/>
          <w:sz w:val="18"/>
          <w:szCs w:val="18"/>
        </w:rPr>
        <w:t xml:space="preserve">Figure 5. Lead lifecycle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4180"/>
      </w:tblGrid>
      <w:tr>
        <w:trPr>
          <w:tblHeader/>
        </w:trPr>
        <w:tc>
          <w:tcPr>
            <w:tcW w:type="dxa" w:w="33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Trigger</w:t>
            </w:r>
          </w:p>
        </w:tc>
        <w:tc>
          <w:tcPr>
            <w:tcW w:type="dxa" w:w="26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From → To</w:t>
            </w:r>
          </w:p>
        </w:tc>
        <w:tc>
          <w:tcPr>
            <w:tcW w:type="dxa" w:w="418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Side effects</w:t>
            </w:r>
          </w:p>
        </w:tc>
      </w:tr>
      <w:tr>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Attempt: sent / no answer / gatekeeper / callback</w:t>
            </w:r>
          </w:p>
        </w:tc>
        <w:tc>
          <w:tcPr>
            <w:tcW w:type="dxa" w:w="26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new → contacted</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Schedule next touch (cadence), last_contacted_at set</w:t>
            </w:r>
          </w:p>
        </w:tc>
      </w:tr>
      <w:tr>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Attempt: replied / interested, or an inbound email</w:t>
            </w:r>
          </w:p>
        </w:tc>
        <w:tc>
          <w:tcPr>
            <w:tcW w:type="dxa" w:w="26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contacted → replied</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Notification, AI reply draft (or auto-send), cadence continues</w:t>
            </w:r>
          </w:p>
        </w:tc>
      </w:tr>
      <w:tr>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Attempt: meeting booked, or a meeting created</w:t>
            </w:r>
          </w:p>
        </w:tc>
        <w:tc>
          <w:tcPr>
            <w:tcW w:type="dxa" w:w="26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 → meeting_booked</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Cadence stops; CPS brief generated</w:t>
            </w:r>
          </w:p>
        </w:tc>
      </w:tr>
      <w:tr>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Cadence: 6 attempts with no response</w:t>
            </w:r>
          </w:p>
        </w:tc>
        <w:tc>
          <w:tcPr>
            <w:tcW w:type="dxa" w:w="26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contacted → no_response</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Switches to nurture every 60 days</w:t>
            </w:r>
          </w:p>
        </w:tc>
      </w:tr>
      <w:tr>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Outcome: converted</w:t>
            </w:r>
          </w:p>
        </w:tc>
        <w:tc>
          <w:tcPr>
            <w:tcW w:type="dxa" w:w="26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 → closed_won</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Customer created (client workspace) or "Sign as client" (agency); scoring update</w:t>
            </w:r>
          </w:p>
        </w:tc>
      </w:tr>
      <w:tr>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Outcome: on the fence</w:t>
            </w:r>
          </w:p>
        </w:tc>
        <w:tc>
          <w:tcPr>
            <w:tcW w:type="dxa" w:w="26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 → on_fence</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Cadence continues at the normal intervals</w:t>
            </w:r>
          </w:p>
        </w:tc>
      </w:tr>
      <w:tr>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Outcome: said no + reason</w:t>
            </w:r>
          </w:p>
        </w:tc>
        <w:tc>
          <w:tcPr>
            <w:tcW w:type="dxa" w:w="26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 → closed_lost</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Loss reason recorded; learning input; cadence stops</w:t>
            </w:r>
          </w:p>
        </w:tc>
      </w:tr>
      <w:tr>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Opt-out reply, bounce, spam</w:t>
            </w:r>
          </w:p>
        </w:tc>
        <w:tc>
          <w:tcPr>
            <w:tcW w:type="dxa" w:w="26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 → unsubscribed / bounced / spam</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Suppression list; all sending stops</w:t>
            </w:r>
          </w:p>
        </w:tc>
      </w:tr>
    </w:tbl>
    <w:p>
      <w:pPr>
        <w:pStyle w:val="Heading1"/>
      </w:pPr>
      <w:r>
        <w:t xml:space="preserve">5. Sequence diagrams</w:t>
      </w:r>
    </w:p>
    <w:p>
      <w:pPr>
        <w:pStyle w:val="Heading2"/>
      </w:pPr>
      <w:r>
        <w:t xml:space="preserve">5.1 Registration and workspace creation</w:t>
      </w:r>
    </w:p>
    <w:p>
      <w:pPr>
        <w:keepNext/>
        <w:spacing w:after="60" w:before="120"/>
        <w:jc w:val="center"/>
      </w:pPr>
      <w:r>
        <w:drawing>
          <wp:inline distT="0" distB="0" distL="0" distR="0">
            <wp:extent cx="6400800" cy="4857750"/>
            <wp:effectExtent t="0" r="0" b="0" l="0"/>
            <wp:docPr id="1" name="seq_register" descr="Figure 6. Agency or client registration, profile extraction and AI onboarding" title="Figure 6. Agency or client registration, profile extraction and AI onbo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4857750"/>
                    </a:xfrm>
                    <a:prstGeom prst="rect">
                      <a:avLst/>
                    </a:prstGeom>
                  </pic:spPr>
                </pic:pic>
              </a:graphicData>
            </a:graphic>
          </wp:inline>
        </w:drawing>
      </w:r>
    </w:p>
    <w:p>
      <w:pPr>
        <w:spacing w:after="220"/>
        <w:jc w:val="center"/>
      </w:pPr>
      <w:r>
        <w:rPr>
          <w:i/>
          <w:iCs/>
          <w:color w:val="5A5A66"/>
          <w:sz w:val="18"/>
          <w:szCs w:val="18"/>
        </w:rPr>
        <w:t xml:space="preserve">Figure 6. Agency or client registration, profile extraction and AI onboarding</w:t>
      </w:r>
    </w:p>
    <w:p>
      <w:pPr>
        <w:pStyle w:val="Heading2"/>
      </w:pPr>
      <w:r>
        <w:t xml:space="preserve">5.2 Multi-method outreach on one lead</w:t>
      </w:r>
    </w:p>
    <w:p>
      <w:pPr>
        <w:keepNext/>
        <w:spacing w:after="60" w:before="120"/>
        <w:jc w:val="center"/>
      </w:pPr>
      <w:r>
        <w:drawing>
          <wp:inline distT="0" distB="0" distL="0" distR="0">
            <wp:extent cx="6400800" cy="5362575"/>
            <wp:effectExtent t="0" r="0" b="0" l="0"/>
            <wp:docPr id="1" name="seq_outreach" descr="Figure 7. Prepare the selected methods, record the result and schedule the follow-up" title="Figure 7. Prepare the selected methods, record the result and schedule the follow-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5362575"/>
                    </a:xfrm>
                    <a:prstGeom prst="rect">
                      <a:avLst/>
                    </a:prstGeom>
                  </pic:spPr>
                </pic:pic>
              </a:graphicData>
            </a:graphic>
          </wp:inline>
        </w:drawing>
      </w:r>
    </w:p>
    <w:p>
      <w:pPr>
        <w:spacing w:after="220"/>
        <w:jc w:val="center"/>
      </w:pPr>
      <w:r>
        <w:rPr>
          <w:i/>
          <w:iCs/>
          <w:color w:val="5A5A66"/>
          <w:sz w:val="18"/>
          <w:szCs w:val="18"/>
        </w:rPr>
        <w:t xml:space="preserve">Figure 7. Prepare the selected methods, record the result and schedule the follow-up</w:t>
      </w:r>
    </w:p>
    <w:p>
      <w:pPr>
        <w:pStyle w:val="Heading2"/>
      </w:pPr>
      <w:r>
        <w:t xml:space="preserve">5.3 Bulk or bespoke email</w:t>
      </w:r>
    </w:p>
    <w:p>
      <w:pPr>
        <w:keepNext/>
        <w:spacing w:after="60" w:before="120"/>
        <w:jc w:val="center"/>
      </w:pPr>
      <w:r>
        <w:drawing>
          <wp:inline distT="0" distB="0" distL="0" distR="0">
            <wp:extent cx="6400800" cy="5429250"/>
            <wp:effectExtent t="0" r="0" b="0" l="0"/>
            <wp:docPr id="1" name="seq_bulk" descr="Figure 8. Compose (template or bespoke), gate checks, send and record" title="Figure 8. Compose (template or bespoke), gate checks, send and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5429250"/>
                    </a:xfrm>
                    <a:prstGeom prst="rect">
                      <a:avLst/>
                    </a:prstGeom>
                  </pic:spPr>
                </pic:pic>
              </a:graphicData>
            </a:graphic>
          </wp:inline>
        </w:drawing>
      </w:r>
    </w:p>
    <w:p>
      <w:pPr>
        <w:spacing w:after="220"/>
        <w:jc w:val="center"/>
      </w:pPr>
      <w:r>
        <w:rPr>
          <w:i/>
          <w:iCs/>
          <w:color w:val="5A5A66"/>
          <w:sz w:val="18"/>
          <w:szCs w:val="18"/>
        </w:rPr>
        <w:t xml:space="preserve">Figure 8. Compose (template or bespoke), gate checks, send and record</w:t>
      </w:r>
    </w:p>
    <w:p>
      <w:pPr>
        <w:pStyle w:val="Heading2"/>
      </w:pPr>
      <w:r>
        <w:t xml:space="preserve">5.4 Reply handling and live notification</w:t>
      </w:r>
    </w:p>
    <w:p>
      <w:pPr>
        <w:keepNext/>
        <w:spacing w:after="60" w:before="120"/>
        <w:jc w:val="center"/>
      </w:pPr>
      <w:r>
        <w:drawing>
          <wp:inline distT="0" distB="0" distL="0" distR="0">
            <wp:extent cx="6400800" cy="5734050"/>
            <wp:effectExtent t="0" r="0" b="0" l="0"/>
            <wp:docPr id="1" name="seq_reply" descr="Figure 9. Inbound email → match → classify → draft or auto reply → SSE notification" title="Figure 9. Inbound email → match → classify → draft or auto reply → SSE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00800" cy="5734050"/>
                    </a:xfrm>
                    <a:prstGeom prst="rect">
                      <a:avLst/>
                    </a:prstGeom>
                  </pic:spPr>
                </pic:pic>
              </a:graphicData>
            </a:graphic>
          </wp:inline>
        </w:drawing>
      </w:r>
    </w:p>
    <w:p>
      <w:pPr>
        <w:spacing w:after="220"/>
        <w:jc w:val="center"/>
      </w:pPr>
      <w:r>
        <w:rPr>
          <w:i/>
          <w:iCs/>
          <w:color w:val="5A5A66"/>
          <w:sz w:val="18"/>
          <w:szCs w:val="18"/>
        </w:rPr>
        <w:t xml:space="preserve">Figure 9. Inbound email → match → classify → draft or auto reply → SSE notification</w:t>
      </w:r>
    </w:p>
    <w:p>
      <w:pPr>
        <w:pStyle w:val="Heading2"/>
      </w:pPr>
      <w:r>
        <w:t xml:space="preserve">5.5 CPS meeting</w:t>
      </w:r>
    </w:p>
    <w:p>
      <w:pPr>
        <w:keepNext/>
        <w:spacing w:after="60" w:before="120"/>
        <w:jc w:val="center"/>
      </w:pPr>
      <w:r>
        <w:drawing>
          <wp:inline distT="0" distB="0" distL="0" distR="0">
            <wp:extent cx="6400800" cy="4638675"/>
            <wp:effectExtent t="0" r="0" b="0" l="0"/>
            <wp:docPr id="1" name="seq_meeting" descr="Figure 10. Book a meeting, generate the CPS brief, record the outcome" title="Figure 10. Book a meeting, generate the CPS brief, record the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00800" cy="4638675"/>
                    </a:xfrm>
                    <a:prstGeom prst="rect">
                      <a:avLst/>
                    </a:prstGeom>
                  </pic:spPr>
                </pic:pic>
              </a:graphicData>
            </a:graphic>
          </wp:inline>
        </w:drawing>
      </w:r>
    </w:p>
    <w:p>
      <w:pPr>
        <w:spacing w:after="220"/>
        <w:jc w:val="center"/>
      </w:pPr>
      <w:r>
        <w:rPr>
          <w:i/>
          <w:iCs/>
          <w:color w:val="5A5A66"/>
          <w:sz w:val="18"/>
          <w:szCs w:val="18"/>
        </w:rPr>
        <w:t xml:space="preserve">Figure 10. Book a meeting, generate the CPS brief, record the outcome</w:t>
      </w:r>
    </w:p>
    <w:p>
      <w:pPr>
        <w:pStyle w:val="Heading2"/>
      </w:pPr>
      <w:r>
        <w:t xml:space="preserve">5.6 Follow-up cadence run</w:t>
      </w:r>
    </w:p>
    <w:p>
      <w:pPr>
        <w:keepNext/>
        <w:spacing w:after="60" w:before="120"/>
        <w:jc w:val="center"/>
      </w:pPr>
      <w:r>
        <w:drawing>
          <wp:inline distT="0" distB="0" distL="0" distR="0">
            <wp:extent cx="6400800" cy="3076575"/>
            <wp:effectExtent t="0" r="0" b="0" l="0"/>
            <wp:docPr id="1" name="seq_cadence" descr="Figure 11. Scheduler tick: due queue, email follow-ups and tasks for manual methods" title="Figure 11. Scheduler tick: due queue, email follow-ups and tasks for manual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00800" cy="3076575"/>
                    </a:xfrm>
                    <a:prstGeom prst="rect">
                      <a:avLst/>
                    </a:prstGeom>
                  </pic:spPr>
                </pic:pic>
              </a:graphicData>
            </a:graphic>
          </wp:inline>
        </w:drawing>
      </w:r>
    </w:p>
    <w:p>
      <w:pPr>
        <w:spacing w:after="220"/>
        <w:jc w:val="center"/>
      </w:pPr>
      <w:r>
        <w:rPr>
          <w:i/>
          <w:iCs/>
          <w:color w:val="5A5A66"/>
          <w:sz w:val="18"/>
          <w:szCs w:val="18"/>
        </w:rPr>
        <w:t xml:space="preserve">Figure 11. Scheduler tick: due queue, email follow-ups and tasks for manual methods</w:t>
      </w:r>
    </w:p>
    <w:p>
      <w:pPr>
        <w:pStyle w:val="Heading2"/>
      </w:pPr>
      <w:r>
        <w:t xml:space="preserve">5.7 AI assistant tool loop</w:t>
      </w:r>
    </w:p>
    <w:p>
      <w:pPr>
        <w:keepNext/>
        <w:spacing w:after="60" w:before="120"/>
        <w:jc w:val="center"/>
      </w:pPr>
      <w:r>
        <w:drawing>
          <wp:inline distT="0" distB="0" distL="0" distR="0">
            <wp:extent cx="6400800" cy="5105400"/>
            <wp:effectExtent t="0" r="0" b="0" l="0"/>
            <wp:docPr id="1" name="seq_assistant" descr="Figure 12. Assistant with workspace-scoped tools (max 8 rounds)" title="Figure 12. Assistant with workspace-scoped tools (max 8 r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400800" cy="5105400"/>
                    </a:xfrm>
                    <a:prstGeom prst="rect">
                      <a:avLst/>
                    </a:prstGeom>
                  </pic:spPr>
                </pic:pic>
              </a:graphicData>
            </a:graphic>
          </wp:inline>
        </w:drawing>
      </w:r>
    </w:p>
    <w:p>
      <w:pPr>
        <w:spacing w:after="220"/>
        <w:jc w:val="center"/>
      </w:pPr>
      <w:r>
        <w:rPr>
          <w:i/>
          <w:iCs/>
          <w:color w:val="5A5A66"/>
          <w:sz w:val="18"/>
          <w:szCs w:val="18"/>
        </w:rPr>
        <w:t xml:space="preserve">Figure 12. Assistant with workspace-scoped tools (max 8 rounds)</w:t>
      </w:r>
    </w:p>
    <w:p>
      <w:pPr>
        <w:pStyle w:val="Heading1"/>
      </w:pPr>
      <w:r>
        <w:t xml:space="preserve">6. Activity diagrams</w:t>
      </w:r>
    </w:p>
    <w:p>
      <w:pPr>
        <w:pStyle w:val="Heading2"/>
      </w:pPr>
      <w:r>
        <w:t xml:space="preserve">6.1 Cadence decision</w:t>
      </w:r>
    </w:p>
    <w:p>
      <w:pPr>
        <w:keepNext/>
        <w:spacing w:after="60" w:before="120"/>
        <w:jc w:val="center"/>
      </w:pPr>
      <w:r>
        <w:drawing>
          <wp:inline distT="0" distB="0" distL="0" distR="0">
            <wp:extent cx="2971800" cy="8191500"/>
            <wp:effectExtent t="0" r="0" b="0" l="0"/>
            <wp:docPr id="1" name="act_cadence" descr="Figure 13. Deciding whether, when and how to follow up" title="Figure 13. Deciding whether, when and how to follow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71800" cy="8191500"/>
                    </a:xfrm>
                    <a:prstGeom prst="rect">
                      <a:avLst/>
                    </a:prstGeom>
                  </pic:spPr>
                </pic:pic>
              </a:graphicData>
            </a:graphic>
          </wp:inline>
        </w:drawing>
      </w:r>
    </w:p>
    <w:p>
      <w:pPr>
        <w:spacing w:after="220"/>
        <w:jc w:val="center"/>
      </w:pPr>
      <w:r>
        <w:rPr>
          <w:i/>
          <w:iCs/>
          <w:color w:val="5A5A66"/>
          <w:sz w:val="18"/>
          <w:szCs w:val="18"/>
        </w:rPr>
        <w:t xml:space="preserve">Figure 13. Deciding whether, when and how to follow up</w:t>
      </w:r>
    </w:p>
    <w:p>
      <w:pPr>
        <w:pStyle w:val="Heading2"/>
      </w:pPr>
      <w:r>
        <w:t xml:space="preserve">6.2 Daily client health sweep</w:t>
      </w:r>
    </w:p>
    <w:p>
      <w:pPr>
        <w:keepNext/>
        <w:spacing w:after="60" w:before="120"/>
        <w:jc w:val="center"/>
      </w:pPr>
      <w:r>
        <w:drawing>
          <wp:inline distT="0" distB="0" distL="0" distR="0">
            <wp:extent cx="4343400" cy="8191500"/>
            <wp:effectExtent t="0" r="0" b="0" l="0"/>
            <wp:docPr id="1" name="act_health" descr="Figure 14. Score each client, band it and alert the agency" title="Figure 14. Score each client, band it and alert the ag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43400" cy="8191500"/>
                    </a:xfrm>
                    <a:prstGeom prst="rect">
                      <a:avLst/>
                    </a:prstGeom>
                  </pic:spPr>
                </pic:pic>
              </a:graphicData>
            </a:graphic>
          </wp:inline>
        </w:drawing>
      </w:r>
    </w:p>
    <w:p>
      <w:pPr>
        <w:spacing w:after="220"/>
        <w:jc w:val="center"/>
      </w:pPr>
      <w:r>
        <w:rPr>
          <w:i/>
          <w:iCs/>
          <w:color w:val="5A5A66"/>
          <w:sz w:val="18"/>
          <w:szCs w:val="18"/>
        </w:rPr>
        <w:t xml:space="preserve">Figure 14. Score each client, band it and alert the agency</w:t>
      </w:r>
    </w:p>
    <w:p>
      <w:pPr>
        <w:pStyle w:val="Heading2"/>
      </w:pPr>
      <w:r>
        <w:t xml:space="preserve">6.3 Value pyramid computation</w:t>
      </w:r>
    </w:p>
    <w:p>
      <w:pPr>
        <w:keepNext/>
        <w:spacing w:after="60" w:before="120"/>
        <w:jc w:val="center"/>
      </w:pPr>
      <w:r>
        <w:drawing>
          <wp:inline distT="0" distB="0" distL="0" distR="0">
            <wp:extent cx="2676525" cy="8191500"/>
            <wp:effectExtent t="0" r="0" b="0" l="0"/>
            <wp:docPr id="1" name="act_value" descr="Figure 15. From industry template (or AI draft) to value per lead" title="Figure 15. From industry template (or AI draft) to value per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676525" cy="8191500"/>
                    </a:xfrm>
                    <a:prstGeom prst="rect">
                      <a:avLst/>
                    </a:prstGeom>
                  </pic:spPr>
                </pic:pic>
              </a:graphicData>
            </a:graphic>
          </wp:inline>
        </w:drawing>
      </w:r>
    </w:p>
    <w:p>
      <w:pPr>
        <w:spacing w:after="220"/>
        <w:jc w:val="center"/>
      </w:pPr>
      <w:r>
        <w:rPr>
          <w:i/>
          <w:iCs/>
          <w:color w:val="5A5A66"/>
          <w:sz w:val="18"/>
          <w:szCs w:val="18"/>
        </w:rPr>
        <w:t xml:space="preserve">Figure 15. From industry template (or AI draft) to value per lead</w:t>
      </w:r>
    </w:p>
    <w:p>
      <w:pPr>
        <w:pStyle w:val="Heading1"/>
      </w:pPr>
      <w:r>
        <w:t xml:space="preserve">7. Design patterns and implementation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3380"/>
      </w:tblGrid>
      <w:tr>
        <w:trPr>
          <w:tblHeader/>
        </w:trPr>
        <w:tc>
          <w:tcPr>
            <w:tcW w:type="dxa" w:w="24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Pattern</w:t>
            </w:r>
          </w:p>
        </w:tc>
        <w:tc>
          <w:tcPr>
            <w:tcW w:type="dxa" w:w="43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Where</w:t>
            </w:r>
          </w:p>
        </w:tc>
        <w:tc>
          <w:tcPr>
            <w:tcW w:type="dxa" w:w="338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Why</w:t>
            </w:r>
          </w:p>
        </w:tc>
      </w:tr>
      <w:tr>
        <w:tc>
          <w:tcPr>
            <w:tcW w:type="dxa" w:w="2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Gateway</w:t>
            </w:r>
          </w:p>
        </w:tc>
        <w:tc>
          <w:tcPr>
            <w:tcW w:type="dxa" w:w="4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llm.js wraps the Anthropic SDK</w:t>
            </w:r>
          </w:p>
        </w:tc>
        <w:tc>
          <w:tcPr>
            <w:tcW w:type="dxa" w:w="33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One place for the model, effort, refusal fallback and parsing</w:t>
            </w:r>
          </w:p>
        </w:tc>
      </w:tr>
      <w:tr>
        <w:tc>
          <w:tcPr>
            <w:tcW w:type="dxa" w:w="2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Template Method + Null Object</w:t>
            </w:r>
          </w:p>
        </w:tc>
        <w:tc>
          <w:tcPr>
            <w:tcW w:type="dxa" w:w="4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Each AI service: prompt → model → withFallback(local template)</w:t>
            </w:r>
          </w:p>
        </w:tc>
        <w:tc>
          <w:tcPr>
            <w:tcW w:type="dxa" w:w="33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The same shape with or without AI; partial output is safe</w:t>
            </w:r>
          </w:p>
        </w:tc>
      </w:tr>
      <w:tr>
        <w:tc>
          <w:tcPr>
            <w:tcW w:type="dxa" w:w="2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Observer (pub/sub)</w:t>
            </w:r>
          </w:p>
        </w:tc>
        <w:tc>
          <w:tcPr>
            <w:tcW w:type="dxa" w:w="4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notificationService.publish → SSE subscribers per workspace and agency</w:t>
            </w:r>
          </w:p>
        </w:tc>
        <w:tc>
          <w:tcPr>
            <w:tcW w:type="dxa" w:w="33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Live replies without polling</w:t>
            </w:r>
          </w:p>
        </w:tc>
      </w:tr>
      <w:tr>
        <w:tc>
          <w:tcPr>
            <w:tcW w:type="dxa" w:w="2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Strategy</w:t>
            </w:r>
          </w:p>
        </w:tc>
        <w:tc>
          <w:tcPr>
            <w:tcW w:type="dxa" w:w="4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Lead sources (Clay, Explorium, web, mock); outreach methods</w:t>
            </w:r>
          </w:p>
        </w:tc>
        <w:tc>
          <w:tcPr>
            <w:tcW w:type="dxa" w:w="33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Pluggable sources; method-specific preparation</w:t>
            </w:r>
          </w:p>
        </w:tc>
      </w:tr>
      <w:tr>
        <w:tc>
          <w:tcPr>
            <w:tcW w:type="dxa" w:w="2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Adapter</w:t>
            </w:r>
          </w:p>
        </w:tc>
        <w:tc>
          <w:tcPr>
            <w:tcW w:type="dxa" w:w="4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normalizeWebhookPayload (Postmark, Mailgun, JSON); HighLevel/Appointwise adapters</w:t>
            </w:r>
          </w:p>
        </w:tc>
        <w:tc>
          <w:tcPr>
            <w:tcW w:type="dxa" w:w="33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External shapes become one internal shape</w:t>
            </w:r>
          </w:p>
        </w:tc>
      </w:tr>
      <w:tr>
        <w:tc>
          <w:tcPr>
            <w:tcW w:type="dxa" w:w="2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Policy object</w:t>
            </w:r>
          </w:p>
        </w:tc>
        <w:tc>
          <w:tcPr>
            <w:tcW w:type="dxa" w:w="4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cadenceService with settings.cadence</w:t>
            </w:r>
          </w:p>
        </w:tc>
        <w:tc>
          <w:tcPr>
            <w:tcW w:type="dxa" w:w="33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Timing and anti-spam rules in one place, configurable per workspace</w:t>
            </w:r>
          </w:p>
        </w:tc>
      </w:tr>
      <w:tr>
        <w:tc>
          <w:tcPr>
            <w:tcW w:type="dxa" w:w="2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Configuration as code</w:t>
            </w:r>
          </w:p>
        </w:tc>
        <w:tc>
          <w:tcPr>
            <w:tcW w:type="dxa" w:w="4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playbook.js</w:t>
            </w:r>
          </w:p>
        </w:tc>
        <w:tc>
          <w:tcPr>
            <w:tcW w:type="dxa" w:w="33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The same rules drive the UI, validation and prompts</w:t>
            </w:r>
          </w:p>
        </w:tc>
      </w:tr>
      <w:tr>
        <w:tc>
          <w:tcPr>
            <w:tcW w:type="dxa" w:w="2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Chain of responsibility</w:t>
            </w:r>
          </w:p>
        </w:tc>
        <w:tc>
          <w:tcPr>
            <w:tcW w:type="dxa" w:w="4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Send gates: suppression → opt-out → rate limit → warm-up → send</w:t>
            </w:r>
          </w:p>
        </w:tc>
        <w:tc>
          <w:tcPr>
            <w:tcW w:type="dxa" w:w="33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Each check can stop the send and say why</w:t>
            </w:r>
          </w:p>
        </w:tc>
      </w:tr>
      <w:tr>
        <w:tc>
          <w:tcPr>
            <w:tcW w:type="dxa" w:w="2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Middleware / decorator</w:t>
            </w:r>
          </w:p>
        </w:tc>
        <w:tc>
          <w:tcPr>
            <w:tcW w:type="dxa" w:w="4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requireAuth → authenticate (workspace) → requireRole</w:t>
            </w:r>
          </w:p>
        </w:tc>
        <w:tc>
          <w:tcPr>
            <w:tcW w:type="dxa" w:w="33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Tenancy enforced before any handler runs</w:t>
            </w:r>
          </w:p>
        </w:tc>
      </w:tr>
      <w:tr>
        <w:tc>
          <w:tcPr>
            <w:tcW w:type="dxa" w:w="2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Command</w:t>
            </w:r>
          </w:p>
        </w:tc>
        <w:tc>
          <w:tcPr>
            <w:tcW w:type="dxa" w:w="4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Assistant tools (find_leads, log_outreach_attempt, set_lead_outcome, …)</w:t>
            </w:r>
          </w:p>
        </w:tc>
        <w:tc>
          <w:tcPr>
            <w:tcW w:type="dxa" w:w="33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The model issues named commands that are validated and scoped</w:t>
            </w:r>
          </w:p>
        </w:tc>
      </w:tr>
      <w:tr>
        <w:tc>
          <w:tcPr>
            <w:tcW w:type="dxa" w:w="2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Repository</w:t>
            </w:r>
          </w:p>
        </w:tc>
        <w:tc>
          <w:tcPr>
            <w:tcW w:type="dxa" w:w="4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Service modules own their tables' SQL</w:t>
            </w:r>
          </w:p>
        </w:tc>
        <w:tc>
          <w:tcPr>
            <w:tcW w:type="dxa" w:w="33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Routes never write SQL directly for the v3 domains</w:t>
            </w:r>
          </w:p>
        </w:tc>
      </w:tr>
    </w:tbl>
    <w:p>
      <w:pPr>
        <w:pStyle w:val="Heading1"/>
      </w:pPr>
      <w:r>
        <w:t xml:space="preserve">8. Requirement → object traceability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4180"/>
      </w:tblGrid>
      <w:tr>
        <w:trPr>
          <w:tblHeader/>
        </w:trPr>
        <w:tc>
          <w:tcPr>
            <w:tcW w:type="dxa" w:w="29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Requirement (PRD)</w:t>
            </w:r>
          </w:p>
        </w:tc>
        <w:tc>
          <w:tcPr>
            <w:tcW w:type="dxa" w:w="30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Classes</w:t>
            </w:r>
          </w:p>
        </w:tc>
        <w:tc>
          <w:tcPr>
            <w:tcW w:type="dxa" w:w="418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Main modules</w:t>
            </w:r>
          </w:p>
        </w:tc>
      </w:tr>
      <w:tr>
        <w:tc>
          <w:tcPr>
            <w:tcW w:type="dxa" w:w="2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FR-1 Workspaces</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Company, User</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middleware/auth, workspaceService, routes/workspaces</w:t>
            </w:r>
          </w:p>
        </w:tc>
      </w:tr>
      <w:tr>
        <w:tc>
          <w:tcPr>
            <w:tcW w:type="dxa" w:w="2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FR-2 Onboarding</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Company, User, AIProfile</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routes/auth, companyProfileService</w:t>
            </w:r>
          </w:p>
        </w:tc>
      </w:tr>
      <w:tr>
        <w:tc>
          <w:tcPr>
            <w:tcW w:type="dxa" w:w="2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FR-3 Business profile</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AIProfile</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documentService, companyProfileService</w:t>
            </w:r>
          </w:p>
        </w:tc>
      </w:tr>
      <w:tr>
        <w:tc>
          <w:tcPr>
            <w:tcW w:type="dxa" w:w="2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FR-4 Value pyramid</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ValuePyramid, ValueTier</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valuePyramidService</w:t>
            </w:r>
          </w:p>
        </w:tc>
      </w:tr>
      <w:tr>
        <w:tc>
          <w:tcPr>
            <w:tcW w:type="dxa" w:w="2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FR-5 Growth plan</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GrowthPlan</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strategyService</w:t>
            </w:r>
          </w:p>
        </w:tc>
      </w:tr>
      <w:tr>
        <w:tc>
          <w:tcPr>
            <w:tcW w:type="dxa" w:w="2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FR-6 Lead sourcing</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Lead, LeadContact, LeadSourceProvider</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routes/leads, leadSourceRegistry, csvImportService, routes/inbound</w:t>
            </w:r>
          </w:p>
        </w:tc>
      </w:tr>
      <w:tr>
        <w:tc>
          <w:tcPr>
            <w:tcW w:type="dxa" w:w="2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FR-7 Lead record</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Lead, LeadContact</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leadsService</w:t>
            </w:r>
          </w:p>
        </w:tc>
      </w:tr>
      <w:tr>
        <w:tc>
          <w:tcPr>
            <w:tcW w:type="dxa" w:w="2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FR-8 / FR-9 Outreach &amp; standards</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OutreachAttempt, Playbook</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outreachService, callsService</w:t>
            </w:r>
          </w:p>
        </w:tc>
      </w:tr>
      <w:tr>
        <w:tc>
          <w:tcPr>
            <w:tcW w:type="dxa" w:w="2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FR-10 CPS meetings</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Meeting</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meetingsService, meetingPrepService</w:t>
            </w:r>
          </w:p>
        </w:tc>
      </w:tr>
      <w:tr>
        <w:tc>
          <w:tcPr>
            <w:tcW w:type="dxa" w:w="2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FR-11 Outcomes</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Lead, Customer, Company</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outreachService.setOutcome, workspaceService.convertLeadToClient</w:t>
            </w:r>
          </w:p>
        </w:tc>
      </w:tr>
      <w:tr>
        <w:tc>
          <w:tcPr>
            <w:tcW w:type="dxa" w:w="2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FR-12 Email</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EmailMessage</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bulkEmailService, emailService, emailGenerationService</w:t>
            </w:r>
          </w:p>
        </w:tc>
      </w:tr>
      <w:tr>
        <w:tc>
          <w:tcPr>
            <w:tcW w:type="dxa" w:w="2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FR-13 Cadence</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Cadence, Task</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cadenceService, followUpService, scheduler</w:t>
            </w:r>
          </w:p>
        </w:tc>
      </w:tr>
      <w:tr>
        <w:tc>
          <w:tcPr>
            <w:tcW w:type="dxa" w:w="2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FR-14 / FR-15 Replies &amp; bot</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EmailMessage, Notification</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inboxService, imapPoller, notificationService</w:t>
            </w:r>
          </w:p>
        </w:tc>
      </w:tr>
      <w:tr>
        <w:tc>
          <w:tcPr>
            <w:tcW w:type="dxa" w:w="2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FR-16 Customers</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Customer, ChurnEvent</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customersService</w:t>
            </w:r>
          </w:p>
        </w:tc>
      </w:tr>
      <w:tr>
        <w:tc>
          <w:tcPr>
            <w:tcW w:type="dxa" w:w="2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FR-17 Client monitoring</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Company, ChurnEvent, Notification</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workspaceService.clientHealth, scheduler</w:t>
            </w:r>
          </w:p>
        </w:tc>
      </w:tr>
      <w:tr>
        <w:tc>
          <w:tcPr>
            <w:tcW w:type="dxa" w:w="2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FR-18 Analytics</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n/a (read model)</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analyticsService</w:t>
            </w:r>
          </w:p>
        </w:tc>
      </w:tr>
      <w:tr>
        <w:tc>
          <w:tcPr>
            <w:tcW w:type="dxa" w:w="2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FR-19 AI learning</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AIInsight</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insightsService</w:t>
            </w:r>
          </w:p>
        </w:tc>
      </w:tr>
      <w:tr>
        <w:tc>
          <w:tcPr>
            <w:tcW w:type="dxa" w:w="2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FR-20 Integrations</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IntegrationAdapter</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integrationsService</w:t>
            </w:r>
          </w:p>
        </w:tc>
      </w:tr>
      <w:tr>
        <w:tc>
          <w:tcPr>
            <w:tcW w:type="dxa" w:w="2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FR-21 Assistant</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AssistantAgent</w:t>
            </w:r>
          </w:p>
        </w:tc>
        <w:tc>
          <w:tcPr>
            <w:tcW w:type="dxa" w:w="4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assistantService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66"/>
        <w:sz w:val="16"/>
        <w:szCs w:val="16"/>
      </w:rPr>
      <w:t xml:space="preserve">Chunguza · OOAD Specification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B1B22"/>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5D4FB3"/>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1B1B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ed6a2eed5cb80a2843032469246ffa9baa1c5ba.png"/><Relationship Id="rId10" Type="http://schemas.openxmlformats.org/officeDocument/2006/relationships/image" Target="media/fd632c2d31d8c25e3c5b62bfe64034707ddd682b.png"/><Relationship Id="rId11" Type="http://schemas.openxmlformats.org/officeDocument/2006/relationships/image" Target="media/9b594f2d025df5e46b8169b46a033a331847c291.png"/><Relationship Id="rId12" Type="http://schemas.openxmlformats.org/officeDocument/2006/relationships/image" Target="media/777831445c3f82d0274783b82c700af66cfed84b.png"/><Relationship Id="rId13" Type="http://schemas.openxmlformats.org/officeDocument/2006/relationships/image" Target="media/1a16d3c64e9f9810839a304ef600b9e5a0a56487.png"/><Relationship Id="rId14" Type="http://schemas.openxmlformats.org/officeDocument/2006/relationships/image" Target="media/7682fd61543ca417030164567d5ef3726e0b1fab.png"/><Relationship Id="rId15" Type="http://schemas.openxmlformats.org/officeDocument/2006/relationships/image" Target="media/e10a9fa1995727d60106277d1349a52a02995624.png"/><Relationship Id="rId16" Type="http://schemas.openxmlformats.org/officeDocument/2006/relationships/image" Target="media/759c799676b286bcced913e6b6093f22b6396076.png"/><Relationship Id="rId17" Type="http://schemas.openxmlformats.org/officeDocument/2006/relationships/image" Target="media/ac7c39de38e6889e74c07ffa890a8e1aeb02f8c4.png"/><Relationship Id="rId18" Type="http://schemas.openxmlformats.org/officeDocument/2006/relationships/image" Target="media/6f47892f591822796aa90d0b72c8d52ff63fdf06.png"/><Relationship Id="rId19" Type="http://schemas.openxmlformats.org/officeDocument/2006/relationships/image" Target="media/acb85771b95d97583eef08128d162c60bdb92051.png"/><Relationship Id="rId20" Type="http://schemas.openxmlformats.org/officeDocument/2006/relationships/image" Target="media/bfdd88df39ec60f49b26ccc080cb03da72772481.png"/><Relationship Id="rId21" Type="http://schemas.openxmlformats.org/officeDocument/2006/relationships/image" Target="media/effa1da3ef4daf48a3c5e900a07144e978432ff8.png"/><Relationship Id="rId22" Type="http://schemas.openxmlformats.org/officeDocument/2006/relationships/image" Target="media/fc7450130f5a419f90a9dcb9de530e47ff65edf8.png"/><Relationship Id="rId23" Type="http://schemas.openxmlformats.org/officeDocument/2006/relationships/image" Target="media/defb546c5d5fa69f4cb31bbaf2f21f84c3ea6e09.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Chunguza · OOAD Specification v3</dc:title>
  <dc:creator>Chunguza</dc:creator>
  <dc:description>Chunguza · OOAD Specification v3</dc:description>
  <cp:lastModifiedBy>Un-named</cp:lastModifiedBy>
  <cp:revision>1</cp:revision>
  <dcterms:created xsi:type="dcterms:W3CDTF">2026-09-26T22:27:42.203Z</dcterms:created>
  <dcterms:modified xsi:type="dcterms:W3CDTF">2026-09-26T22:27:42.203Z</dcterms:modified>
</cp:coreProperties>
</file>

<file path=docProps/custom.xml><?xml version="1.0" encoding="utf-8"?>
<Properties xmlns="http://schemas.openxmlformats.org/officeDocument/2006/custom-properties" xmlns:vt="http://schemas.openxmlformats.org/officeDocument/2006/docPropsVTypes"/>
</file>