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2"/>
          <w:szCs w:val="22"/>
        </w:rPr>
        <w:t xml:space="preserve">CONTOSO PTE LTD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Employee Leave Policy</w:t>
      </w:r>
    </w:p>
    <w:p>
      <w:pPr>
        <w:pBdr>
          <w:bottom w:val="single" w:color="1F4E79" w:sz="6"/>
        </w:pBdr>
        <w:spacing w:after="200"/>
      </w:pPr>
      <w:r>
        <w:rPr>
          <w:color w:val="595959"/>
          <w:sz w:val="18"/>
          <w:szCs w:val="18"/>
        </w:rPr>
        <w:t xml:space="preserve">Version 2.1  |  Effective 1 January 2026  |  Owner: Human Resources</w:t>
      </w:r>
    </w:p>
    <w:p>
      <w:pPr>
        <w:pStyle w:val="Heading1"/>
        <w:spacing w:after="120" w:before="240"/>
      </w:pPr>
      <w:r>
        <w:t xml:space="preserve">1. Purpose and scope</w:t>
      </w:r>
    </w:p>
    <w:p>
      <w:pPr>
        <w:spacing w:after="120"/>
      </w:pPr>
      <w:r>
        <w:t xml:space="preserve">This policy sets out the leave entitlements and application procedures for all confirmed full-time employees of Contoso Pte Ltd. It covers annual leave, sick leave, and unpaid leave. Statutory leave such as maternity, paternity, and childcare leave follows Ministry of Manpower guidelines; contact Human Resources for details.</w:t>
      </w:r>
    </w:p>
    <w:p>
      <w:pPr>
        <w:pStyle w:val="Heading1"/>
        <w:spacing w:after="120" w:before="240"/>
      </w:pPr>
      <w:r>
        <w:t xml:space="preserve">2. Entitlement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0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Leave type</w:t>
            </w:r>
          </w:p>
        </w:tc>
        <w:tc>
          <w:tcPr>
            <w:tcW w:type="dxa" w:w="4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Entitlement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working days per calendar year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Reporting manager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Sick leave (outpatient)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days per year with a medical certificate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with MC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Sick leave (hospitalisation)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days per year, inclusive of the 14 outpatient days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with MC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Unpaid leave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30 calendar days per year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 and HR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Annual leave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confirmed employees receive 18 working days of annual leave per calendar year, credited on 1 January.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joiners receive a pro-rated entitlement based on completed months of service in the joining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at least 5 working days in advance. For 5 or more consecutive days, apply at least 10 working days in advance.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is given by your reporting manager and is subject to team coverage.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maximum of 5 unused days may be carried into the next calendar year and must be used by 31 March, after which they are forfeited.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Unused leave is encashed only upon cessation of employment.</w:t>
      </w:r>
    </w:p>
    <w:p>
      <w:pPr>
        <w:pStyle w:val="Heading1"/>
        <w:spacing w:after="120" w:before="240"/>
      </w:pPr>
      <w:r>
        <w:t xml:space="preserve">4. Sick leave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are entitled to 14 days of outpatient sick leave per year, and up to 60 days per year where hospitalisation is required (inclusive of the 14 outpatient days).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 your reporting manager before 10:00 am on the day of absence.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medical certificate from a registered medical practitioner is required for all sick leave.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the medical certificate within 2 working days of returning to work.</w:t>
      </w:r>
    </w:p>
    <w:p>
      <w:pPr>
        <w:pStyle w:val="Heading1"/>
        <w:spacing w:after="120" w:before="240"/>
      </w:pPr>
      <w:r>
        <w:t xml:space="preserve">5. Unpaid leave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Available to confirmed employees who have completed probation.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 to 30 calendar days per year, applied for at least 10 working days in advance.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 approval from both your reporting manager and Human Resources.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leave entitlement is pro-rated for unpaid leave periods exceeding 14 calendar days in a year.</w:t>
      </w:r>
    </w:p>
    <w:p>
      <w:pPr>
        <w:pStyle w:val="Heading1"/>
        <w:spacing w:after="120" w:before="240"/>
      </w:pPr>
      <w:r>
        <w:t xml:space="preserve">6. How to apply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your request through the HR Leave Assistant in Microsoft Teams or the HR portal, providing the leave type, start date, end date, and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will receive a reference number once your request is submitted. Track the status in the HR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an emergency, inform your reporting manager directly and regularise the request within 2 working days of returning.</w:t>
      </w:r>
    </w:p>
    <w:p>
      <w:pPr>
        <w:pStyle w:val="Heading1"/>
        <w:spacing w:after="120" w:before="240"/>
      </w:pPr>
      <w:r>
        <w:t xml:space="preserve">7. Questions</w:t>
      </w:r>
    </w:p>
    <w:p>
      <w:pPr>
        <w:spacing w:after="120"/>
      </w:pPr>
      <w:r>
        <w:t xml:space="preserve">For any questions about this policy, email hr@contoso.com or post in the #hr-help channel in Microsoft Teams.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36B4878408A74CBD3010CAB71BC717" ma:contentTypeVersion="0" ma:contentTypeDescription="Create a new document." ma:contentTypeScope="" ma:versionID="829f94c099199fccb2f5e78ec64d666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E8712-AE40-4B6C-BEF0-129768F537F4}"/>
</file>

<file path=customXml/itemProps2.xml><?xml version="1.0" encoding="utf-8"?>
<ds:datastoreItem xmlns:ds="http://schemas.openxmlformats.org/officeDocument/2006/customXml" ds:itemID="{5D3F20E9-8037-47D2-BBD0-41FB57294428}"/>
</file>

<file path=customXml/itemProps3.xml><?xml version="1.0" encoding="utf-8"?>
<ds:datastoreItem xmlns:ds="http://schemas.openxmlformats.org/officeDocument/2006/customXml" ds:itemID="{DC86B81D-09E8-40A3-80FE-87A86C1F388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2026-07-10T05:27:45Z</dcterms:created>
  <dcterms:modified xsi:type="dcterms:W3CDTF">2026-07-10T05:27:45Z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0x010100C136B4878408A74CBD3010CAB71BC717</vt:lpwstr>
  </property>
</Properties>
</file>