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GERENCIAL</w:t>
      </w:r>
    </w:p>
    <w:p>
      <w:pPr>
        <w:pStyle w:val="Heading2"/>
        <w:jc w:val="center"/>
      </w:pPr>
      <w:r>
        <w:t>Análisis de Registros Individuales de Prestación de Servicios (RIPS)</w:t>
      </w:r>
    </w:p>
    <w:p>
      <w:r>
        <w:t>Fecha de Generación: 2025-10-08 09:59:17</w:t>
      </w:r>
    </w:p>
    <w:p>
      <w:r>
        <w:t>Número de Factura: 25117687</w:t>
      </w:r>
    </w:p>
    <w:p>
      <w:r>
        <w:t>Documento Obligado: 822006595</w:t>
      </w:r>
    </w:p>
    <w:p>
      <w:r>
        <w:br w:type="page"/>
      </w:r>
    </w:p>
    <w:p>
      <w:pPr>
        <w:pStyle w:val="Heading1"/>
      </w:pPr>
      <w:r>
        <w:t>1. RESUMEN EJECUTIVO</w:t>
      </w:r>
    </w:p>
    <w:p>
      <w:r>
        <w:t>Este informe presenta un análisis detallado de los servicios de salud prestados, basado en la información contenida en los archivos RIPS (Resolución 2275 de 2023).</w:t>
        <w:br/>
        <w:br/>
        <w:t>Durante el periodo analizado se atendieron 22 usuarios, generando un total de 42 consultas. Se identificaron 10 diagnósticos únicos, siendo los más frecuentes aquellos relacionados con consultas de rutina, seguimiento y atención preventiva.</w:t>
        <w:br/>
        <w:br/>
        <w:t>El análisis demográfico muestra una distribución predominante del sexo femenino con 15 pacientes (68.2%), frente a 7 pacientes masculinos (31.8%).</w:t>
      </w:r>
    </w:p>
    <w:p>
      <w:r>
        <w:br w:type="page"/>
      </w:r>
    </w:p>
    <w:p>
      <w:pPr>
        <w:pStyle w:val="Heading1"/>
      </w:pPr>
      <w:r>
        <w:t>2. ANÁLISIS DEMOGRÁFICO</w:t>
      </w:r>
    </w:p>
    <w:p>
      <w:pPr>
        <w:pStyle w:val="Heading2"/>
      </w:pPr>
      <w:r>
        <w:t>2.1 Distribución por Sexo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Total de Femenino: 15</w:t>
        <w:br/>
      </w:r>
      <w:r>
        <w:rPr>
          <w:b/>
        </w:rPr>
        <w:t>Total de Masculino: 7</w:t>
        <w:br/>
      </w:r>
    </w:p>
    <w:p>
      <w:pPr>
        <w:pStyle w:val="Heading2"/>
      </w:pPr>
      <w:r>
        <w:t>2.2 Distribución por Edad</w:t>
      </w:r>
    </w:p>
    <w:p>
      <w:r>
        <w:drawing>
          <wp:inline xmlns:a="http://schemas.openxmlformats.org/drawingml/2006/main" xmlns:pic="http://schemas.openxmlformats.org/drawingml/2006/picture">
            <wp:extent cx="5486400" cy="32659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97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Rango de Edad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Porcentaje</w:t>
            </w:r>
          </w:p>
        </w:tc>
      </w:tr>
      <w:tr>
        <w:tc>
          <w:tcPr>
            <w:tcW w:type="dxa" w:w="2880"/>
          </w:tcPr>
          <w:p>
            <w:r>
              <w:t>0-5 años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31.8%</w:t>
            </w:r>
          </w:p>
        </w:tc>
      </w:tr>
      <w:tr>
        <w:tc>
          <w:tcPr>
            <w:tcW w:type="dxa" w:w="2880"/>
          </w:tcPr>
          <w:p>
            <w:r>
              <w:t>6-11 años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12-17 años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</w:tr>
      <w:tr>
        <w:tc>
          <w:tcPr>
            <w:tcW w:type="dxa" w:w="2880"/>
          </w:tcPr>
          <w:p>
            <w:r>
              <w:t>18-26 años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</w:tr>
      <w:tr>
        <w:tc>
          <w:tcPr>
            <w:tcW w:type="dxa" w:w="2880"/>
          </w:tcPr>
          <w:p>
            <w:r>
              <w:t>27-59 años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31.8%</w:t>
            </w:r>
          </w:p>
        </w:tc>
      </w:tr>
      <w:tr>
        <w:tc>
          <w:tcPr>
            <w:tcW w:type="dxa" w:w="2880"/>
          </w:tcPr>
          <w:p>
            <w:r>
              <w:t>60+ años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r>
        <w:br w:type="page"/>
      </w:r>
    </w:p>
    <w:p>
      <w:pPr>
        <w:pStyle w:val="Heading1"/>
      </w:pPr>
      <w:r>
        <w:t>3. DISTRIBUCIÓN TERRITORIAL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Urbana: 19 (86.4%)</w:t>
        <w:br/>
      </w:r>
      <w:r>
        <w:rPr>
          <w:b/>
        </w:rPr>
        <w:t>Rural: 3 (13.6%)</w:t>
        <w:br/>
      </w:r>
    </w:p>
    <w:p>
      <w:r>
        <w:br w:type="page"/>
      </w:r>
    </w:p>
    <w:p>
      <w:pPr>
        <w:pStyle w:val="Heading1"/>
      </w:pPr>
      <w:r>
        <w:t>4. ANÁLISIS DE DIAGNÓSTICOS</w:t>
      </w:r>
    </w:p>
    <w:p>
      <w:r>
        <w:t>Total de diagnósticos registrados: 42</w:t>
      </w:r>
    </w:p>
    <w:p>
      <w:r>
        <w:t>Diagnósticos únicos identificados: 10</w:t>
      </w:r>
    </w:p>
    <w:p>
      <w:r>
        <w:t>Casos con comorbilidades: 4</w:t>
      </w:r>
    </w:p>
    <w:p>
      <w:pPr>
        <w:pStyle w:val="Heading2"/>
      </w:pPr>
      <w:r>
        <w:t>4.1 Top 10 Diagnósticos Más Frecuentes</w:t>
      </w:r>
    </w:p>
    <w:p>
      <w:r>
        <w:drawing>
          <wp:inline xmlns:a="http://schemas.openxmlformats.org/drawingml/2006/main" xmlns:pic="http://schemas.openxmlformats.org/drawingml/2006/picture">
            <wp:extent cx="5486400" cy="32659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97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Diagnóstico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</w:tr>
      <w:tr>
        <w:tc>
          <w:tcPr>
            <w:tcW w:type="dxa" w:w="2880"/>
          </w:tcPr>
          <w:p>
            <w:r>
              <w:t>Z719</w:t>
            </w:r>
          </w:p>
        </w:tc>
        <w:tc>
          <w:tcPr>
            <w:tcW w:type="dxa" w:w="2880"/>
          </w:tcPr>
          <w:p>
            <w:r>
              <w:t>CONSULTA, NO ESPECIFICADA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Z717</w:t>
            </w:r>
          </w:p>
        </w:tc>
        <w:tc>
          <w:tcPr>
            <w:tcW w:type="dxa" w:w="2880"/>
          </w:tcPr>
          <w:p>
            <w:r>
              <w:t>CONSULTA PARA ASESORIA SOBRE EL VIRUS DE LA INMUNODEFICIENCIA HUMANA [VIH]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Z012</w:t>
            </w:r>
          </w:p>
        </w:tc>
        <w:tc>
          <w:tcPr>
            <w:tcW w:type="dxa" w:w="2880"/>
          </w:tcPr>
          <w:p>
            <w:r>
              <w:t>EXAMEN ODONTOLOGICO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Z359</w:t>
            </w:r>
          </w:p>
        </w:tc>
        <w:tc>
          <w:tcPr>
            <w:tcW w:type="dxa" w:w="2880"/>
          </w:tcPr>
          <w:p>
            <w:r>
              <w:t>SUPERVISION DE EMBARAZO DE ALTO RIESGO, SIN OTRA ESPECIFICACION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Z391</w:t>
            </w:r>
          </w:p>
        </w:tc>
        <w:tc>
          <w:tcPr>
            <w:tcW w:type="dxa" w:w="2880"/>
          </w:tcPr>
          <w:p>
            <w:r>
              <w:t>ATENCION Y EXAMEN DE MADRE EN PERIODO DE LACTANCIA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Z000</w:t>
            </w:r>
          </w:p>
        </w:tc>
        <w:tc>
          <w:tcPr>
            <w:tcW w:type="dxa" w:w="2880"/>
          </w:tcPr>
          <w:p>
            <w:r>
              <w:t>EXAMEN MEDICO GENERAL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Z010</w:t>
            </w:r>
          </w:p>
        </w:tc>
        <w:tc>
          <w:tcPr>
            <w:tcW w:type="dxa" w:w="2880"/>
          </w:tcPr>
          <w:p>
            <w:r>
              <w:t>EXAMEN DE OJOS Y DE LA VISION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Z300</w:t>
            </w:r>
          </w:p>
        </w:tc>
        <w:tc>
          <w:tcPr>
            <w:tcW w:type="dxa" w:w="2880"/>
          </w:tcPr>
          <w:p>
            <w:r>
              <w:t>CONSEJO Y ASESORAMIENTO GENERAL SOBRE LA ANTICONCEPCION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Z001</w:t>
            </w:r>
          </w:p>
        </w:tc>
        <w:tc>
          <w:tcPr>
            <w:tcW w:type="dxa" w:w="2880"/>
          </w:tcPr>
          <w:p>
            <w:r>
              <w:t>CONTROL DE SALUD DE RUTINA DEL NINO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H526</w:t>
            </w:r>
          </w:p>
        </w:tc>
        <w:tc>
          <w:tcPr>
            <w:tcW w:type="dxa" w:w="2880"/>
          </w:tcPr>
          <w:p>
            <w:r>
              <w:t>OTROS TRASTORNOS DE LA REFRACCION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5. ANÁLISIS POR GÉNERO</w:t>
      </w:r>
    </w:p>
    <w:p>
      <w:pPr>
        <w:pStyle w:val="Heading2"/>
      </w:pPr>
      <w:r>
        <w:t>5.1 Diagnósticos Principales por Género</w:t>
      </w:r>
    </w:p>
    <w:p>
      <w:r>
        <w:rPr>
          <w:b/>
        </w:rPr>
        <w:t>Top 5 Diagnósticos - Femenino:</w:t>
      </w:r>
    </w:p>
    <w:p>
      <w:r>
        <w:rPr>
          <w:b/>
        </w:rPr>
        <w:t>Top 5 Diagnósticos - Masculino:</w:t>
      </w:r>
    </w:p>
    <w:p>
      <w:r>
        <w:br w:type="page"/>
      </w:r>
    </w:p>
    <w:p>
      <w:pPr>
        <w:pStyle w:val="Heading1"/>
      </w:pPr>
      <w:r>
        <w:t>6. MOTIVOS DE CONSULTA</w:t>
      </w:r>
    </w:p>
    <w:p>
      <w:r>
        <w:drawing>
          <wp:inline xmlns:a="http://schemas.openxmlformats.org/drawingml/2006/main" xmlns:pic="http://schemas.openxmlformats.org/drawingml/2006/picture">
            <wp:extent cx="5486400" cy="32622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2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Promoción y prevención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Planificación familiar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</w:tbl>
    <w:p>
      <w:r>
        <w:br w:type="page"/>
      </w:r>
    </w:p>
    <w:p>
      <w:pPr>
        <w:pStyle w:val="Heading1"/>
      </w:pPr>
      <w:r>
        <w:t>7. ANÁLISIS DE SERVICIOS</w:t>
      </w:r>
    </w:p>
    <w:p>
      <w:r>
        <w:t>Total de consultas realizadas: 42</w:t>
      </w:r>
    </w:p>
    <w:p>
      <w:r>
        <w:t>Servicios sin autorización: 42</w:t>
      </w:r>
    </w:p>
    <w:p>
      <w:r>
        <w:t>Valor total de servicios: $0.00</w:t>
      </w:r>
    </w:p>
    <w:p>
      <w:r>
        <w:t>Total de copagos: $0.00</w:t>
      </w:r>
    </w:p>
    <w:p>
      <w:r>
        <w:drawing>
          <wp:inline xmlns:a="http://schemas.openxmlformats.org/drawingml/2006/main" xmlns:pic="http://schemas.openxmlformats.org/drawingml/2006/picture">
            <wp:extent cx="5029200" cy="29904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8. VALIDACIÓN DE CALIDAD DE DATOS</w:t>
      </w:r>
    </w:p>
    <w:p>
      <w:r>
        <w:rPr>
          <w:b/>
        </w:rPr>
        <w:t xml:space="preserve">Nivel de Calidad: </w:t>
      </w:r>
      <w:r>
        <w:rPr>
          <w:b/>
          <w:color w:val="00B050"/>
          <w:sz w:val="28"/>
        </w:rPr>
        <w:t>EXCELENTE</w:t>
      </w:r>
    </w:p>
    <w:p>
      <w:r>
        <w:t>Total de anomalías detectadas: 0</w:t>
      </w:r>
    </w:p>
    <w:p>
      <w:r>
        <w:t>¡Excelente! No se encontraron anomalías en los datos. La información cumple con todos los estándares de calidad de la Resolución 2275 de 2023.</w:t>
      </w:r>
    </w:p>
    <w:p>
      <w:r>
        <w:br w:type="page"/>
      </w:r>
    </w:p>
    <w:p>
      <w:pPr>
        <w:pStyle w:val="Heading1"/>
      </w:pPr>
      <w:r>
        <w:t>9. CONCLUSIONES Y RECOMENDACIONES</w:t>
      </w:r>
    </w:p>
    <w:p>
      <w:r>
        <w:t>Con base en el análisis realizado, se pueden destacar las siguientes conclusiones:</w:t>
        <w:br/>
        <w:br/>
        <w:t>1. Perfil Demográfico: La población atendida presenta una distribución predominante del sexo femenino (68.2%), lo cual puede estar asociado a servicios de salud reproductiva, control prenatal y atención materno-infantil.</w:t>
        <w:br/>
        <w:br/>
        <w:t>2. Distribución Territorial: La mayor parte de la población atendida (86.4%) proviene de zona urbana, lo que permite focalizar estrategias de atención según las características de esta población.</w:t>
        <w:br/>
        <w:br/>
        <w:t>3. Diagnósticos Principales: Los diagnósticos más frecuentes corresponden a consultas de rutina, seguimiento y atención preventiva, reflejando una orientación hacia la promoción y prevención en salud.</w:t>
        <w:br/>
        <w:br/>
        <w:t>4. Servicios Prestados: Se observa que 42 servicios no cuentan con autorización previa, lo que representa un área de mejora en los procesos administrativos.</w:t>
        <w:br/>
        <w:br/>
        <w:t>Recomendaciones:</w:t>
        <w:br/>
        <w:br/>
        <w:t>• Fortalecer los programas de promoción y prevención, especialmente aquellos orientados a la población femenina.</w:t>
        <w:br/>
        <w:t>• Mejorar los procesos de autorización de servicios para reducir el número de servicios sin autorización previa.</w:t>
        <w:br/>
        <w:t>• Implementar estrategias diferenciadas según la zona territorial de origen de los pacientes.</w:t>
        <w:br/>
        <w:t>• Continuar con el seguimiento y análisis periódico de los indicadores de salud para la toma de decisiones basada en evidencia.</w:t>
      </w:r>
    </w:p>
    <w:p>
      <w:r>
        <w:br w:type="page"/>
      </w:r>
    </w:p>
    <w:p>
      <w:pPr>
        <w:jc w:val="center"/>
      </w:pPr>
      <w:r>
        <w:rPr>
          <w:b/>
        </w:rPr>
        <w:t>Fin del Informe Gerencial</w:t>
        <w:br/>
      </w:r>
      <w:r>
        <w:t>Generado automáticamente el 2025-10-08 09:59:18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