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MANUAL TÉCNICO DE REGISTRO</w:t>
      </w:r>
    </w:p>
    <w:p>
      <w:pPr>
        <w:pStyle w:val="Title"/>
      </w:pPr>
      <w:r>
        <w:t xml:space="preserve">RESOLUCIÓN 202 DE 2021</w:t>
      </w:r>
    </w:p>
    <w:p>
      <w:pPr>
        <w:spacing w:before="120" w:after="240"/>
        <w:jc w:val="center"/>
      </w:pPr>
      <w:r>
        <w:rPr>
          <w:i/>
          <w:iCs/>
          <w:sz w:val="28"/>
          <w:szCs w:val="28"/>
        </w:rPr>
        <w:t xml:space="preserve">Guía para Encargados de Calidad de Datos</w:t>
      </w:r>
    </w:p>
    <w:p>
      <w:pPr>
        <w:spacing w:before="120" w:after="480"/>
        <w:jc w:val="center"/>
      </w:pPr>
      <w:r>
        <w:rPr>
          <w:color w:val="666666"/>
          <w:sz w:val="22"/>
          <w:szCs w:val="22"/>
        </w:rPr>
        <w:t xml:space="preserve">Versión 1.0 - Octubre 2025</w:t>
      </w:r>
    </w:p>
    <w:p>
      <w:r>
        <w:br w:type="page"/>
      </w:r>
    </w:p>
    <w:sdt>
      <w:sdtPr>
        <w:alias w:val="Tabla de Contenido"/>
      </w:sdtPr>
      <w:sdtContent>
        <w:p>
          <w:r>
            <w:fldChar w:fldCharType="begin" w:dirty="true"/>
            <w:instrText xml:space="preserve">TOC \h \o "1-3"</w:instrText>
            <w:fldChar w:fldCharType="separate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Heading1"/>
      </w:pPr>
      <w:r>
        <w:t xml:space="preserve">1. MARCO NORMATIVO</w:t>
      </w:r>
    </w:p>
    <w:p>
      <w:pPr>
        <w:pStyle w:val="Heading2"/>
      </w:pPr>
      <w:r>
        <w:t xml:space="preserve">1.1 Resolución 202 de 2021</w:t>
      </w:r>
    </w:p>
    <w:p>
      <w:pPr>
        <w:spacing w:before="120" w:after="120"/>
      </w:pPr>
      <w:r>
        <w:rPr>
          <w:b/>
          <w:bCs/>
        </w:rPr>
        <w:t xml:space="preserve">Objetivo: </w:t>
      </w:r>
      <w:r>
        <w:t xml:space="preserve">Modificar el artículo 10 de la Resolución 4505 de 2012 y sustituir su anexo técnico para ajustarlo a la captación y registro de información relacionada con las intervenciones individuales de la Ruta Integral de Atención para la Promoción y Mantenimiento de la Salud (RIAS) y la Ruta Integral de Atención en Salud para la Población Materno Perinatal.</w:t>
      </w:r>
    </w:p>
    <w:p>
      <w:pPr>
        <w:spacing w:before="120" w:after="120"/>
      </w:pPr>
      <w:r>
        <w:rPr>
          <w:b/>
          <w:bCs/>
        </w:rPr>
        <w:t xml:space="preserve">Alcance: </w:t>
      </w:r>
      <w:r>
        <w:t xml:space="preserve">Aplica a todas las entidades promotoras de salud (EPS) del régimen contributivo y subsidiado, entidades obligadas a compensar (EOC), entidades de regímenes especial y de excepción, secretarías de salud departamentales y distritales, e instituciones prestadoras de salud (IPS).</w:t>
      </w:r>
    </w:p>
    <w:p>
      <w:pPr>
        <w:pStyle w:val="Heading2"/>
      </w:pPr>
      <w:r>
        <w:t xml:space="preserve">1.2 Obligaciones y Responsabilidades</w:t>
      </w:r>
    </w:p>
    <w:p>
      <w:pPr>
        <w:pStyle w:val="ListParagraph"/>
        <w:numPr>
          <w:ilvl w:val="0"/>
          <w:numId w:val="2"/>
        </w:numPr>
      </w:pPr>
      <w:r>
        <w:t xml:space="preserve">Reporte trimestral de información mediante archivos planos</w:t>
      </w:r>
    </w:p>
    <w:p>
      <w:pPr>
        <w:pStyle w:val="ListParagraph"/>
        <w:numPr>
          <w:ilvl w:val="0"/>
          <w:numId w:val="2"/>
        </w:numPr>
      </w:pPr>
      <w:r>
        <w:t xml:space="preserve">Cumplimiento de estructura de 119 columnas según Anexo Técnico 1</w:t>
      </w:r>
    </w:p>
    <w:p>
      <w:pPr>
        <w:pStyle w:val="ListParagraph"/>
        <w:numPr>
          <w:ilvl w:val="0"/>
          <w:numId w:val="2"/>
        </w:numPr>
      </w:pPr>
      <w:r>
        <w:t xml:space="preserve">Envío de información a través de la Plataforma PISIS de SISPRO</w:t>
      </w:r>
    </w:p>
    <w:p>
      <w:pPr>
        <w:pStyle w:val="ListParagraph"/>
        <w:numPr>
          <w:ilvl w:val="0"/>
          <w:numId w:val="2"/>
        </w:numPr>
      </w:pPr>
      <w:r>
        <w:t xml:space="preserve">Protección de datos personales según Ley 1581 de 2012</w:t>
      </w:r>
    </w:p>
    <w:p>
      <w:pPr>
        <w:pStyle w:val="ListParagraph"/>
        <w:numPr>
          <w:ilvl w:val="0"/>
          <w:numId w:val="2"/>
        </w:numPr>
      </w:pPr>
      <w:r>
        <w:t xml:space="preserve">Firma digital de archivos para garantizar integridad y confidencialidad</w:t>
      </w:r>
    </w:p>
    <w:p>
      <w:pPr>
        <w:pStyle w:val="Heading2"/>
      </w:pPr>
      <w:r>
        <w:t xml:space="preserve">1.3 Consecuencias del Registro Incorrecto</w:t>
      </w:r>
    </w:p>
    <w:p>
      <w:pPr>
        <w:spacing w:before="120" w:after="60"/>
      </w:pPr>
      <w:r>
        <w:t xml:space="preserve">El registro incorrecto de datos puede generar: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Glosas y rechazos </w:t>
      </w:r>
      <w:r>
        <w:t xml:space="preserve">por parte de las EPS y EOC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Sanciones administrativas </w:t>
      </w:r>
      <w:r>
        <w:t xml:space="preserve">por la Supersalud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Pérdida de información crítica </w:t>
      </w:r>
      <w:r>
        <w:t xml:space="preserve">para la gestión del riesgo en salud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Incumplimiento normativo </w:t>
      </w:r>
      <w:r>
        <w:t xml:space="preserve">con implicaciones legales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Afectación en indicadores de calidad </w:t>
      </w:r>
      <w:r>
        <w:t xml:space="preserve">de la institución</w:t>
      </w:r>
    </w:p>
    <w:p>
      <w:r>
        <w:br w:type="page"/>
      </w:r>
    </w:p>
    <w:p>
      <w:pPr>
        <w:pStyle w:val="Heading1"/>
      </w:pPr>
      <w:r>
        <w:t xml:space="preserve">2. ESPECIFICACIONES TÉCNICAS GENERALES</w:t>
      </w:r>
    </w:p>
    <w:p>
      <w:pPr>
        <w:pStyle w:val="Heading2"/>
      </w:pPr>
      <w:r>
        <w:t xml:space="preserve">2.1 Estructura del Archivo</w:t>
      </w:r>
    </w:p>
    <w:p>
      <w:pPr>
        <w:spacing w:before="120" w:after="120"/>
      </w:pPr>
      <w:r>
        <w:t xml:space="preserve">Los archivos deben seguir el siguiente formato de nombre:</w:t>
      </w:r>
    </w:p>
    <w:p>
      <w:pPr>
        <w:spacing w:before="60" w:after="120"/>
        <w:jc w:val="center"/>
      </w:pPr>
      <w:r>
        <w:rPr>
          <w:rFonts w:ascii="Courier New" w:cs="Courier New" w:eastAsia="Courier New" w:hAnsi="Courier New"/>
          <w:b/>
          <w:bCs/>
          <w:color w:val="0066CC"/>
          <w:sz w:val="20"/>
          <w:szCs w:val="20"/>
        </w:rPr>
        <w:t xml:space="preserve">SGD280RPEDAAAAAMMDDNI999999999999S01.TXT</w:t>
      </w:r>
    </w:p>
    <w:p>
      <w:pPr>
        <w:pStyle w:val="Heading2"/>
      </w:pPr>
      <w:r>
        <w:t xml:space="preserve">2.2 Las 119 Columnas Obligatorias</w:t>
      </w:r>
    </w:p>
    <w:p>
      <w:pPr>
        <w:spacing w:before="120" w:after="120"/>
      </w:pPr>
      <w:r>
        <w:t xml:space="preserve">A continuación se presenta un resumen de las columnas clave agrupadas por categoría: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  <w:gridCol w:w="2360"/>
      </w:tblGrid>
      <w:tr>
        <w:trPr>
          <w:tblHeader/>
        </w:trP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Columnas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Categoría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Ejemplos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0-11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Identificación del usuario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Tipo ID, Número, Nombres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12-13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Datos sociodemográficos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Ocupación, Nivel educativo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14-28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Riesgos y tamizajes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Gestante, Sífilis, Deterioro cognitivo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29-33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Antropometría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Peso, Talla, Fechas de medición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34-61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Atención materna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Control prenatal, Suministros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62-102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Tamizajes y diagnósticos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Cáncer, Laboratorios, Imágenes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103-118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Laboratorios y clasificaciones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Hemoglobina, Glicemia, Riesgo CV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3. FORMATOS Y TIPOS DE DATOS</w:t>
      </w:r>
    </w:p>
    <w:p>
      <w:pPr>
        <w:pStyle w:val="Heading2"/>
      </w:pPr>
      <w:r>
        <w:t xml:space="preserve">3.1 Formatos de Fechas</w:t>
      </w:r>
    </w:p>
    <w:p>
      <w:pPr>
        <w:spacing w:before="120" w:after="60"/>
      </w:pPr>
      <w:r>
        <w:rPr>
          <w:b/>
          <w:bCs/>
        </w:rPr>
        <w:t xml:space="preserve">FORMATO OBLIGATORIO: </w:t>
      </w:r>
      <w:r>
        <w:rPr>
          <w:rFonts w:ascii="Courier New" w:cs="Courier New" w:eastAsia="Courier New" w:hAnsi="Courier New"/>
          <w:color w:val="CC0000"/>
          <w:sz w:val="24"/>
          <w:szCs w:val="24"/>
        </w:rPr>
        <w:t xml:space="preserve">AAAA-MM-DD</w:t>
      </w:r>
    </w:p>
    <w:p>
      <w:pPr>
        <w:spacing w:before="60" w:after="120"/>
      </w:pPr>
      <w:r>
        <w:t xml:space="preserve">Ejemplos válidos: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</w:rPr>
        <w:t xml:space="preserve">2025-10-23</w:t>
      </w:r>
      <w:r>
        <w:t xml:space="preserve"> (23 de octubre de 2025)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</w:rPr>
        <w:t xml:space="preserve">2024-01-15</w:t>
      </w:r>
      <w:r>
        <w:t xml:space="preserve"> (15 de enero de 2024)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</w:rPr>
        <w:t xml:space="preserve">1800-01-01</w:t>
      </w:r>
      <w:r>
        <w:t xml:space="preserve"> (cuando no se tiene el dato)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</w:rPr>
        <w:t xml:space="preserve">1845-01-01</w:t>
      </w:r>
      <w:r>
        <w:t xml:space="preserve"> (cuando no aplica)</w:t>
      </w:r>
    </w:p>
    <w:p>
      <w:pPr>
        <w:pStyle w:val="Heading2"/>
      </w:pPr>
      <w:r>
        <w:t xml:space="preserve">3.2 Tipos de Datos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2000"/>
        <w:gridCol w:w="5860"/>
      </w:tblGrid>
      <w:tr>
        <w:trPr>
          <w:tblHeader/>
        </w:trP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Tipo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Código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Descripción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20"/>
                <w:szCs w:val="20"/>
              </w:rPr>
              <w:t xml:space="preserve">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Alfanumérico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Letras, números y espacios. Ej: JUAN PEREZ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20"/>
                <w:szCs w:val="20"/>
              </w:rPr>
              <w:t xml:space="preserve">N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Numérico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Solo números enteros. Ej: 12345678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20"/>
                <w:szCs w:val="20"/>
              </w:rPr>
              <w:t xml:space="preserve">D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Decimal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Números con decimales (punto como separador). Ej: 45.5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20"/>
                <w:szCs w:val="20"/>
              </w:rPr>
              <w:t xml:space="preserve">F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Fecha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Formato AAAA-MM-DD. Ej: 2025-10-23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4. CASOS DE USO CON EJEMPLOS DETALLADOS</w:t>
      </w:r>
    </w:p>
    <w:p>
      <w:pPr>
        <w:spacing w:before="120" w:after="120"/>
      </w:pPr>
      <w:r>
        <w:t xml:space="preserve">A continuación se presentan ejemplos de los casos más comunes de registro. Para cada caso se incluyen los datos completos que deben registrarse y las validaciones críticas a realizar.</w:t>
      </w:r>
    </w:p>
    <w:p>
      <w:pPr>
        <w:pStyle w:val="Heading2"/>
      </w:pPr>
      <w:r>
        <w:t xml:space="preserve">4.1 Caso 1: Atención Odontológica de Rutina</w:t>
      </w:r>
    </w:p>
    <w:p>
      <w:pPr>
        <w:pStyle w:val="Heading3"/>
      </w:pPr>
      <w:r>
        <w:t xml:space="preserve">Escenario Clínico</w:t>
      </w:r>
    </w:p>
    <w:p>
      <w:pPr>
        <w:spacing w:before="60" w:after="60"/>
      </w:pPr>
      <w:r>
        <w:t xml:space="preserve">Paciente adulto que asiste a consulta odontológica de primera vez para valoración y detección temprana de caries.</w:t>
      </w:r>
    </w:p>
    <w:p>
      <w:pPr>
        <w:pStyle w:val="Heading3"/>
      </w:pPr>
      <w:r>
        <w:t xml:space="preserve">Campos Obligatorios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Código IPS primaria (Campo 2): </w:t>
      </w:r>
      <w:r>
        <w:t xml:space="preserve">Código REPS de 12 dígitos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Identificación completa (Campos 3-8): </w:t>
      </w:r>
      <w:r>
        <w:t xml:space="preserve">Tipo ID, número, nombres y apellidos en MAYÚSCULAS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Fecha de atención (Campo 76): </w:t>
      </w:r>
      <w:r>
        <w:t xml:space="preserve">Fecha de la consulta odontológica en formato AAAA-MM-DD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Índice COP (Campo 102): </w:t>
      </w:r>
      <w:r>
        <w:t xml:space="preserve">Registro en formato de 12 dígitos (sanos-caries no cavitacional-caries cavitacional-obturados-perdidos-total)</w:t>
      </w:r>
    </w:p>
    <w:p>
      <w:pPr>
        <w:pStyle w:val="Heading3"/>
      </w:pPr>
      <w:r>
        <w:t xml:space="preserve">Errores Comunes a Evitar</w:t>
      </w:r>
    </w:p>
    <w:p>
      <w:pPr>
        <w:pStyle w:val="ListParagraph"/>
        <w:numPr>
          <w:ilvl w:val="0"/>
          <w:numId w:val="2"/>
        </w:numPr>
      </w:pPr>
      <w:r>
        <w:t xml:space="preserve">No registrar la fecha de atención odontológica</w:t>
      </w:r>
    </w:p>
    <w:p>
      <w:pPr>
        <w:pStyle w:val="ListParagraph"/>
        <w:numPr>
          <w:ilvl w:val="0"/>
          <w:numId w:val="2"/>
        </w:numPr>
      </w:pPr>
      <w:r>
        <w:t xml:space="preserve">Registrar el COP en formato incorrecto (debe ser 12 dígitos)</w:t>
      </w:r>
    </w:p>
    <w:p>
      <w:pPr>
        <w:pStyle w:val="ListParagraph"/>
        <w:numPr>
          <w:ilvl w:val="0"/>
          <w:numId w:val="2"/>
        </w:numPr>
      </w:pPr>
      <w:r>
        <w:t xml:space="preserve">Omitir el código de habilitación de la IPS</w:t>
      </w:r>
    </w:p>
    <w:p>
      <w:pPr>
        <w:pStyle w:val="Heading2"/>
      </w:pPr>
      <w:r>
        <w:t xml:space="preserve">4.2 Caso 2: Control Prenatal de Gestante</w:t>
      </w:r>
    </w:p>
    <w:p>
      <w:pPr>
        <w:pStyle w:val="Heading3"/>
      </w:pPr>
      <w:r>
        <w:t xml:space="preserve">Escenario Clínico</w:t>
      </w:r>
    </w:p>
    <w:p>
      <w:pPr>
        <w:spacing w:before="60" w:after="60"/>
      </w:pPr>
      <w:r>
        <w:t xml:space="preserve">Gestante de 25 años que asiste a primer control prenatal en el primer trimestre de embarazo.</w:t>
      </w:r>
    </w:p>
    <w:p>
      <w:pPr>
        <w:pStyle w:val="Heading3"/>
      </w:pPr>
      <w:r>
        <w:t xml:space="preserve">Campos Obligatorios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Gestante (Campo 14): </w:t>
      </w:r>
      <w:r>
        <w:t xml:space="preserve">Registrar 1 (Sí)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Fecha probable de parto (Campo 33): </w:t>
      </w:r>
      <w:r>
        <w:t xml:space="preserve">Calcular según FUM en formato AAAA-MM-DD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Clasificación riesgo gestacional (Campo 35): </w:t>
      </w:r>
      <w:r>
        <w:t xml:space="preserve">4-Alto riesgo o 5-Bajo riesgo según valoración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Fecha primera consulta prenatal (Campo 56): </w:t>
      </w:r>
      <w:r>
        <w:t xml:space="preserve">Fecha del primer control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Suministro ácido fólico (Campo 59): </w:t>
      </w:r>
      <w:r>
        <w:t xml:space="preserve">1-Sí se suministra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Suministro sulfato ferroso (Campo 60): </w:t>
      </w:r>
      <w:r>
        <w:t xml:space="preserve">1-Sí se suministra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Suministro carbonato de calcio (Campo 61): </w:t>
      </w:r>
      <w:r>
        <w:t xml:space="preserve">1-Sí se suministra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Resultado glicemia basal (Campo 57): </w:t>
      </w:r>
      <w:r>
        <w:t xml:space="preserve">Valor sin decimales</w:t>
      </w:r>
    </w:p>
    <w:p>
      <w:pPr>
        <w:pStyle w:val="Heading3"/>
      </w:pPr>
      <w:r>
        <w:t xml:space="preserve">Validaciones Críticas</w:t>
      </w:r>
    </w:p>
    <w:p>
      <w:pPr>
        <w:pStyle w:val="ListParagraph"/>
        <w:numPr>
          <w:ilvl w:val="0"/>
          <w:numId w:val="2"/>
        </w:numPr>
      </w:pPr>
      <w:r>
        <w:t xml:space="preserve">Fecha probable de parto debe ser posterior a fecha de primera consulta</w:t>
      </w:r>
    </w:p>
    <w:p>
      <w:pPr>
        <w:pStyle w:val="ListParagraph"/>
        <w:numPr>
          <w:ilvl w:val="0"/>
          <w:numId w:val="2"/>
        </w:numPr>
      </w:pPr>
      <w:r>
        <w:t xml:space="preserve">Si es primera consulta prenatal, debe registrarse suministro de micronutrientes</w:t>
      </w:r>
    </w:p>
    <w:p>
      <w:pPr>
        <w:pStyle w:val="ListParagraph"/>
        <w:numPr>
          <w:ilvl w:val="0"/>
          <w:numId w:val="2"/>
        </w:numPr>
      </w:pPr>
      <w:r>
        <w:t xml:space="preserve">La glicemia basal es obligatoria en primer control</w:t>
      </w:r>
    </w:p>
    <w:p>
      <w:pPr>
        <w:pStyle w:val="Heading2"/>
      </w:pPr>
      <w:r>
        <w:t xml:space="preserve">4.3 Caso 3: Atención de Persona con VIH</w:t>
      </w:r>
    </w:p>
    <w:p>
      <w:pPr>
        <w:pStyle w:val="Heading3"/>
      </w:pPr>
      <w:r>
        <w:t xml:space="preserve">Escenario Clínico</w:t>
      </w:r>
    </w:p>
    <w:p>
      <w:pPr>
        <w:spacing w:before="60" w:after="60"/>
      </w:pPr>
      <w:r>
        <w:t xml:space="preserve">Paciente con diagnóstico confirmado de VIH que asiste a control y seguimiento.</w:t>
      </w:r>
    </w:p>
    <w:p>
      <w:pPr>
        <w:pStyle w:val="Heading3"/>
      </w:pPr>
      <w:r>
        <w:t xml:space="preserve">Campos Obligatorios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Fecha toma prueba VIH (Campo 82): </w:t>
      </w:r>
      <w:r>
        <w:t xml:space="preserve">Fecha de la prueba diagnóstica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Resultado prueba VIH (Campo 83): </w:t>
      </w:r>
      <w:r>
        <w:t xml:space="preserve">4-Reactivo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Preservativos entregados (Campo 74): </w:t>
      </w:r>
      <w:r>
        <w:t xml:space="preserve">Número de unidades entregadas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Fecha consulta valoración integral (Campo 52): </w:t>
      </w:r>
      <w:r>
        <w:t xml:space="preserve">Última valoración</w:t>
      </w:r>
    </w:p>
    <w:p>
      <w:pPr>
        <w:pStyle w:val="Heading3"/>
      </w:pPr>
      <w:r>
        <w:t xml:space="preserve">Errores Comunes</w:t>
      </w:r>
    </w:p>
    <w:p>
      <w:pPr>
        <w:pStyle w:val="ListParagraph"/>
        <w:numPr>
          <w:ilvl w:val="0"/>
          <w:numId w:val="2"/>
        </w:numPr>
      </w:pPr>
      <w:r>
        <w:t xml:space="preserve">No registrar la entrega de preservativos como parte del tratamiento</w:t>
      </w:r>
    </w:p>
    <w:p>
      <w:pPr>
        <w:pStyle w:val="ListParagraph"/>
        <w:numPr>
          <w:ilvl w:val="0"/>
          <w:numId w:val="2"/>
        </w:numPr>
      </w:pPr>
      <w:r>
        <w:t xml:space="preserve">Omitir la fecha de la prueba diagnóstica inicial</w:t>
      </w:r>
    </w:p>
    <w:p>
      <w:r>
        <w:br w:type="page"/>
      </w:r>
    </w:p>
    <w:p>
      <w:pPr>
        <w:pStyle w:val="Heading1"/>
      </w:pPr>
      <w:r>
        <w:t xml:space="preserve">5. ERRORES FRECUENTES Y CÓMO CORREGIRLOS</w:t>
      </w:r>
    </w:p>
    <w:p>
      <w:pPr>
        <w:pStyle w:val="Heading2"/>
      </w:pPr>
      <w:r>
        <w:t xml:space="preserve">5.1 Top 20 Errores Más Comunes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00"/>
        <w:gridCol w:w="2500"/>
        <w:gridCol w:w="3000"/>
        <w:gridCol w:w="3260"/>
      </w:tblGrid>
      <w:tr>
        <w:trPr>
          <w:tblHeader/>
        </w:trP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00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#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00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Error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00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Cómo Corregir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00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Impacto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Formato incorrecto de fechas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Usar siempre AAAA-MM-DD con guiones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Alto - Rechazo automático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Nombres en minúsculas o con tildes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Convertir todo a MAYÚSCULAS sin tildes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Alto - Glosa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Usar comas en lugar de pipes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Separador de campos debe ser | (pipe)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Alto - Archivo no procesa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Campos obligatorios vacíos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Verificar que todos los campos requeridos tengan valor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Alto - Rechazo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COP en formato incorrecto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Debe ser 12 dígitos: SSCNoCaCvObPeTotal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Alto - Glosa odontología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Fechas futuras en atenciones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Verificar que las fechas no sean posteriores a hoy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Medio - Glosa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7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Tipo de identificación no válido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Usar solo códigos de tabla SGDTipoID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Alto - Rechazo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8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Resultados sin fecha de toma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Toda prueba debe tener fecha de realización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Medio - Inconsistencia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9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Código IPS no existe en REPS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Verificar código de habilitación activo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Alto - Rechazo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Gestantes sin fecha probable parto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Calcular FPP según FUM o ecografía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Alto - Glosa materno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6. CHECKLIST DE VALIDACIÓN</w:t>
      </w:r>
    </w:p>
    <w:p>
      <w:pPr>
        <w:spacing w:before="120" w:after="120"/>
      </w:pPr>
      <w:r>
        <w:t xml:space="preserve">Utilice esta lista de verificación antes de enviar los archivos a la plataforma PISIS:</w:t>
      </w:r>
    </w:p>
    <w:p>
      <w:pPr>
        <w:pStyle w:val="Heading2"/>
      </w:pPr>
      <w:r>
        <w:t xml:space="preserve">6.1 Validaciones de Estructura</w:t>
      </w:r>
    </w:p>
    <w:p>
      <w:pPr>
        <w:pStyle w:val="ListParagraph"/>
        <w:numPr>
          <w:ilvl w:val="0"/>
          <w:numId w:val="2"/>
        </w:numPr>
      </w:pPr>
      <w:r>
        <w:t xml:space="preserve">☐ Nombre del archivo cumple con el estándar SGD280RPED...</w:t>
      </w:r>
    </w:p>
    <w:p>
      <w:pPr>
        <w:pStyle w:val="ListParagraph"/>
        <w:numPr>
          <w:ilvl w:val="0"/>
          <w:numId w:val="2"/>
        </w:numPr>
      </w:pPr>
      <w:r>
        <w:t xml:space="preserve">☐ Separador de campos es pipe (|) en todo el archivo</w:t>
      </w:r>
    </w:p>
    <w:p>
      <w:pPr>
        <w:pStyle w:val="ListParagraph"/>
        <w:numPr>
          <w:ilvl w:val="0"/>
          <w:numId w:val="2"/>
        </w:numPr>
      </w:pPr>
      <w:r>
        <w:t xml:space="preserve">☐ Archivo firmado digitalmente con certificado válido</w:t>
      </w:r>
    </w:p>
    <w:p>
      <w:pPr>
        <w:pStyle w:val="ListParagraph"/>
        <w:numPr>
          <w:ilvl w:val="0"/>
          <w:numId w:val="2"/>
        </w:numPr>
      </w:pPr>
      <w:r>
        <w:t xml:space="preserve">☐ Codificación del archivo es ANSI</w:t>
      </w:r>
    </w:p>
    <w:p>
      <w:pPr>
        <w:pStyle w:val="ListParagraph"/>
        <w:numPr>
          <w:ilvl w:val="0"/>
          <w:numId w:val="2"/>
        </w:numPr>
      </w:pPr>
      <w:r>
        <w:t xml:space="preserve">☐ Registro tipo 1 (control) está presente y correcto</w:t>
      </w:r>
    </w:p>
    <w:p>
      <w:pPr>
        <w:pStyle w:val="Heading2"/>
      </w:pPr>
      <w:r>
        <w:t xml:space="preserve">6.2 Validaciones de Contenido</w:t>
      </w:r>
    </w:p>
    <w:p>
      <w:pPr>
        <w:pStyle w:val="ListParagraph"/>
        <w:numPr>
          <w:ilvl w:val="0"/>
          <w:numId w:val="2"/>
        </w:numPr>
      </w:pPr>
      <w:r>
        <w:t xml:space="preserve">☐ Todas las fechas en formato AAAA-MM-DD</w:t>
      </w:r>
    </w:p>
    <w:p>
      <w:pPr>
        <w:pStyle w:val="ListParagraph"/>
        <w:numPr>
          <w:ilvl w:val="0"/>
          <w:numId w:val="2"/>
        </w:numPr>
      </w:pPr>
      <w:r>
        <w:t xml:space="preserve">☐ Nombres y apellidos en MAYÚSCULAS sin tildes</w:t>
      </w:r>
    </w:p>
    <w:p>
      <w:pPr>
        <w:pStyle w:val="ListParagraph"/>
        <w:numPr>
          <w:ilvl w:val="0"/>
          <w:numId w:val="2"/>
        </w:numPr>
      </w:pPr>
      <w:r>
        <w:t xml:space="preserve">☐ Códigos de identificación sin dígito de verificación</w:t>
      </w:r>
    </w:p>
    <w:p>
      <w:pPr>
        <w:pStyle w:val="ListParagraph"/>
        <w:numPr>
          <w:ilvl w:val="0"/>
          <w:numId w:val="2"/>
        </w:numPr>
      </w:pPr>
      <w:r>
        <w:t xml:space="preserve">☐ Campos numéricos sin formato (sin separadores de miles)</w:t>
      </w:r>
    </w:p>
    <w:p>
      <w:pPr>
        <w:pStyle w:val="ListParagraph"/>
        <w:numPr>
          <w:ilvl w:val="0"/>
          <w:numId w:val="2"/>
        </w:numPr>
      </w:pPr>
      <w:r>
        <w:t xml:space="preserve">☐ Campos opcionales vacíos se representan con ||</w:t>
      </w:r>
    </w:p>
    <w:p>
      <w:pPr>
        <w:pStyle w:val="Heading2"/>
      </w:pPr>
      <w:r>
        <w:t xml:space="preserve">6.3 Validaciones de Negocio</w:t>
      </w:r>
    </w:p>
    <w:p>
      <w:pPr>
        <w:pStyle w:val="ListParagraph"/>
        <w:numPr>
          <w:ilvl w:val="0"/>
          <w:numId w:val="2"/>
        </w:numPr>
      </w:pPr>
      <w:r>
        <w:t xml:space="preserve">☐ Gestantes tienen fecha probable de parto</w:t>
      </w:r>
    </w:p>
    <w:p>
      <w:pPr>
        <w:pStyle w:val="ListParagraph"/>
        <w:numPr>
          <w:ilvl w:val="0"/>
          <w:numId w:val="2"/>
        </w:numPr>
      </w:pPr>
      <w:r>
        <w:t xml:space="preserve">☐ Controles prenatales tienen suministros registrados</w:t>
      </w:r>
    </w:p>
    <w:p>
      <w:pPr>
        <w:pStyle w:val="ListParagraph"/>
        <w:numPr>
          <w:ilvl w:val="0"/>
          <w:numId w:val="2"/>
        </w:numPr>
      </w:pPr>
      <w:r>
        <w:t xml:space="preserve">☐ Atenciones odontológicas tienen COP registrado</w:t>
      </w:r>
    </w:p>
    <w:p>
      <w:pPr>
        <w:pStyle w:val="ListParagraph"/>
        <w:numPr>
          <w:ilvl w:val="0"/>
          <w:numId w:val="2"/>
        </w:numPr>
      </w:pPr>
      <w:r>
        <w:t xml:space="preserve">☐ Todas las pruebas diagnósticas tienen fecha y resultado</w:t>
      </w:r>
    </w:p>
    <w:p>
      <w:pPr>
        <w:pStyle w:val="ListParagraph"/>
        <w:numPr>
          <w:ilvl w:val="0"/>
          <w:numId w:val="2"/>
        </w:numPr>
      </w:pPr>
      <w:r>
        <w:t xml:space="preserve">☐ Códigos de IPS están activos en REPS</w:t>
      </w:r>
    </w:p>
    <w:p>
      <w:r>
        <w:br w:type="page"/>
      </w:r>
    </w:p>
    <w:p>
      <w:pPr>
        <w:pStyle w:val="Heading1"/>
      </w:pPr>
      <w:r>
        <w:t xml:space="preserve">7. GLOSARIO DE TÉRMINOS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7360"/>
      </w:tblGrid>
      <w:tr>
        <w:trPr>
          <w:tblHeader/>
        </w:trP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Término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Definición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ANSI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American National Standards Institute. Codificación estándar para archivos de texto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COP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Índice de Caries, Obturaciones y Pérdidas dentales. Se registra en formato de 12 dígitos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DXA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Twentieths of a Point. Unidad de medida utilizada en documentos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EOC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Entidades Obligadas a Compensar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EPS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Entidad Promotora de Salud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IPS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Institución Prestadora de Servicios de Salud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PISIS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Plataforma de Intercambio de Información del SISPRO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REPS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Registro Especial de Prestadores de Servicios de Salud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RIAS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Rutas Integrales de Atención en Salud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SISPRO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Sistema Integral de Información de la Protección Social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8. CONTACTO Y SOPORTE TÉCNICO</w:t>
      </w:r>
    </w:p>
    <w:p>
      <w:pPr>
        <w:spacing w:before="120" w:after="120"/>
      </w:pPr>
      <w:r>
        <w:t xml:space="preserve">Para consultas técnicas y soporte relacionado con el reporte de información, puede contactar:</w:t>
      </w:r>
    </w:p>
    <w:p>
      <w:pPr>
        <w:pStyle w:val="Heading2"/>
      </w:pPr>
      <w:r>
        <w:t xml:space="preserve">Mesa de Ayuda SISPRO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Portal: </w:t>
      </w:r>
      <w:r>
        <w:rPr>
          <w:color w:val="0066CC"/>
          <w:u w:val="single"/>
        </w:rPr>
        <w:t xml:space="preserve">https://www.sispro.gov.co/ayudas/Pages/Ayudas.aspx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Guías de usuario: </w:t>
      </w:r>
      <w:r>
        <w:rPr>
          <w:color w:val="0066CC"/>
          <w:u w:val="single"/>
        </w:rPr>
        <w:t xml:space="preserve">https://web.sispro.gov.co/WebPublico/ExplorarCarpetas.aspx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Horario de atención: </w:t>
      </w:r>
      <w:r>
        <w:t xml:space="preserve">Lunes a viernes de 8:00 AM a 5:00 PM</w:t>
      </w:r>
    </w:p>
    <w:p>
      <w:pPr>
        <w:pStyle w:val="Heading2"/>
      </w:pPr>
      <w:r>
        <w:t xml:space="preserve">Documentación Adicional</w:t>
      </w:r>
    </w:p>
    <w:p>
      <w:pPr>
        <w:pStyle w:val="ListParagraph"/>
        <w:numPr>
          <w:ilvl w:val="0"/>
          <w:numId w:val="2"/>
        </w:numPr>
      </w:pPr>
      <w:r>
        <w:t xml:space="preserve">Resolución 202 de 2021 completa disponible en el sitio web del Ministerio de Salud</w:t>
      </w:r>
    </w:p>
    <w:p>
      <w:pPr>
        <w:pStyle w:val="ListParagraph"/>
        <w:numPr>
          <w:ilvl w:val="0"/>
          <w:numId w:val="2"/>
        </w:numPr>
      </w:pPr>
      <w:r>
        <w:t xml:space="preserve">Tablas de referencia actualizadas en web.sispro.gov.co</w:t>
      </w:r>
    </w:p>
    <w:p>
      <w:pPr>
        <w:pStyle w:val="ListParagraph"/>
        <w:numPr>
          <w:ilvl w:val="0"/>
          <w:numId w:val="2"/>
        </w:numPr>
      </w:pPr>
      <w:r>
        <w:t xml:space="preserve">Manuales técnicos de la Plataforma PISIS</w:t>
      </w:r>
    </w:p>
    <w:p>
      <w:r>
        <w:br w:type="page"/>
      </w:r>
    </w:p>
    <w:p>
      <w:pPr>
        <w:spacing w:before="480" w:after="240"/>
        <w:jc w:val="center"/>
      </w:pPr>
      <w:r>
        <w:rPr>
          <w:b/>
          <w:bCs/>
          <w:color w:val="000080"/>
          <w:sz w:val="36"/>
          <w:szCs w:val="36"/>
        </w:rPr>
        <w:t xml:space="preserve">ANEXOS</w:t>
      </w:r>
    </w:p>
    <w:p>
      <w:pPr>
        <w:spacing w:before="240" w:after="240"/>
      </w:pPr>
      <w:r>
        <w:rPr>
          <w:sz w:val="24"/>
          <w:szCs w:val="24"/>
        </w:rPr>
        <w:t xml:space="preserve">Ver archivo Excel adjunto </w:t>
      </w:r>
      <w:r>
        <w:rPr>
          <w:b/>
          <w:bCs/>
          <w:i/>
          <w:iCs/>
          <w:sz w:val="24"/>
          <w:szCs w:val="24"/>
        </w:rPr>
        <w:t xml:space="preserve">'Ejemplos_Resolucion_202_2021.xlsx'</w:t>
      </w:r>
      <w:r>
        <w:rPr>
          <w:sz w:val="24"/>
          <w:szCs w:val="24"/>
        </w:rPr>
        <w:t xml:space="preserve"> para consultar: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 xml:space="preserve">Plantilla vacía con las 119 columnas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 xml:space="preserve">13 ejemplos de casos de uso completos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 xml:space="preserve">Ejemplos con errores marcados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 xml:space="preserve">Fórmulas de validación</w:t>
      </w:r>
    </w:p>
    <w:p>
      <w:pPr>
        <w:spacing w:before="360" w:after="120"/>
        <w:jc w:val="center"/>
      </w:pPr>
      <w:r>
        <w:rPr>
          <w:color w:val="666666"/>
          <w:sz w:val="20"/>
          <w:szCs w:val="20"/>
        </w:rPr>
        <w:t xml:space="preserve">Versión: 1.0</w:t>
      </w:r>
    </w:p>
    <w:p>
      <w:pPr>
        <w:jc w:val="center"/>
      </w:pPr>
      <w:r>
        <w:rPr>
          <w:color w:val="666666"/>
          <w:sz w:val="20"/>
          <w:szCs w:val="20"/>
        </w:rPr>
        <w:t xml:space="preserve">Fecha de elaboración: Octubre 2025</w:t>
      </w:r>
    </w:p>
    <w:p>
      <w:pPr>
        <w:spacing w:before="60"/>
        <w:jc w:val="center"/>
      </w:pPr>
      <w:r>
        <w:rPr>
          <w:i/>
          <w:iCs/>
          <w:color w:val="666666"/>
          <w:sz w:val="20"/>
          <w:szCs w:val="20"/>
        </w:rPr>
        <w:t xml:space="preserve">Elaborado para encargados de calidad de datos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18"/>
        <w:szCs w:val="18"/>
      </w:rPr>
      <w:t xml:space="preserve">Página </w:t>
    </w:r>
    <w:r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>
      <w:rPr>
        <w:sz w:val="18"/>
        <w:szCs w:val="18"/>
      </w:rPr>
      <w:t xml:space="preserve"> de </w:t>
    </w:r>
    <w:r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color w:val="666666"/>
        <w:sz w:val="18"/>
        <w:szCs w:val="18"/>
      </w:rPr>
      <w:t xml:space="preserve">Manual Técnico - Resolución 202 de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120"/>
      <w:jc w:val="center"/>
    </w:pPr>
    <w:rPr>
      <w:rFonts w:ascii="Arial" w:cs="Arial" w:eastAsia="Arial" w:hAnsi="Arial"/>
      <w:b/>
      <w:bCs/>
      <w:color w:val="000080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20"/>
      <w:outlineLvl w:val="0"/>
    </w:pPr>
    <w:rPr>
      <w:rFonts w:ascii="Arial" w:cs="Arial" w:eastAsia="Arial" w:hAnsi="Arial"/>
      <w:b/>
      <w:bCs/>
      <w:color w:val="00008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180" w:after="100"/>
      <w:outlineLvl w:val="1"/>
    </w:pPr>
    <w:rPr>
      <w:rFonts w:ascii="Arial" w:cs="Arial" w:eastAsia="Arial" w:hAnsi="Arial"/>
      <w:b/>
      <w:bCs/>
      <w:color w:val="1F4E78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120" w:after="80"/>
      <w:outlineLvl w:val="2"/>
    </w:pPr>
    <w:rPr>
      <w:rFonts w:ascii="Arial" w:cs="Arial" w:eastAsia="Arial" w:hAnsi="Arial"/>
      <w:b/>
      <w:bCs/>
      <w:color w:val="2E5C8A"/>
      <w:sz w:val="24"/>
      <w:szCs w:val="24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2025-10-23T16:28:30.248Z</dcterms:created>
  <dcterms:modified xsi:type="dcterms:W3CDTF">2025-10-23T16:28:30.249Z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