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thinThickThinSmallGap" w:sz="24" w:space="0" w:color="auto"/>
          <w:left w:val="thinThickThinSmallGap" w:sz="24" w:space="0" w:color="auto"/>
          <w:bottom w:val="thinThickThinSmallGap" w:sz="24" w:space="0" w:color="auto"/>
          <w:right w:val="thinThickThinSmallGap" w:sz="24" w:space="0" w:color="auto"/>
        </w:tblBorders>
        <w:tblLook w:val="00A0" w:firstRow="1" w:lastRow="0" w:firstColumn="1" w:lastColumn="0" w:noHBand="0" w:noVBand="0"/>
      </w:tblPr>
      <w:tblGrid>
        <w:gridCol w:w="3245"/>
        <w:gridCol w:w="3245"/>
        <w:gridCol w:w="3541"/>
      </w:tblGrid>
      <w:tr w:rsidR="00684A86" w:rsidRPr="00055E37" w:rsidTr="00A22A66">
        <w:trPr>
          <w:trHeight w:val="1309"/>
        </w:trPr>
        <w:tc>
          <w:tcPr>
            <w:tcW w:w="3245" w:type="dxa"/>
            <w:tcBorders>
              <w:top w:val="thinThickThinSmallGap" w:sz="24" w:space="0" w:color="auto"/>
              <w:left w:val="thinThickThinSmallGap" w:sz="24" w:space="0" w:color="auto"/>
              <w:bottom w:val="thinThickThinSmallGap" w:sz="24" w:space="0" w:color="auto"/>
            </w:tcBorders>
          </w:tcPr>
          <w:p w:rsidR="00684A86" w:rsidRPr="000E51BD" w:rsidRDefault="00684A86" w:rsidP="00055E37">
            <w:pPr>
              <w:jc w:val="center"/>
              <w:rPr>
                <w:rFonts w:ascii="Calibri" w:hAnsi="Calibri"/>
                <w:b/>
                <w:i/>
                <w:sz w:val="32"/>
                <w:szCs w:val="32"/>
                <w14:shadow w14:blurRad="50800" w14:dist="38100" w14:dir="2700000" w14:sx="100000" w14:sy="100000" w14:kx="0" w14:ky="0" w14:algn="tl">
                  <w14:srgbClr w14:val="000000">
                    <w14:alpha w14:val="60000"/>
                  </w14:srgbClr>
                </w14:shadow>
              </w:rPr>
            </w:pPr>
            <w:bookmarkStart w:id="0" w:name="_GoBack"/>
            <w:bookmarkEnd w:id="0"/>
            <w:r w:rsidRPr="000E51BD">
              <w:rPr>
                <w:rFonts w:ascii="Calibri" w:hAnsi="Calibri"/>
                <w:b/>
                <w:i/>
                <w:sz w:val="32"/>
                <w:szCs w:val="32"/>
                <w14:shadow w14:blurRad="50800" w14:dist="38100" w14:dir="2700000" w14:sx="100000" w14:sy="100000" w14:kx="0" w14:ky="0" w14:algn="tl">
                  <w14:srgbClr w14:val="000000">
                    <w14:alpha w14:val="60000"/>
                  </w14:srgbClr>
                </w14:shadow>
              </w:rPr>
              <w:t xml:space="preserve"> </w:t>
            </w:r>
          </w:p>
          <w:p w:rsidR="00684A86" w:rsidRPr="000E51BD" w:rsidRDefault="00505002" w:rsidP="00055E37">
            <w:pPr>
              <w:jc w:val="center"/>
              <w:rPr>
                <w:rFonts w:ascii="Calibri" w:hAnsi="Calibri"/>
                <w:b/>
                <w:i/>
                <w:sz w:val="32"/>
                <w:szCs w:val="32"/>
                <w14:shadow w14:blurRad="50800" w14:dist="38100" w14:dir="2700000" w14:sx="100000" w14:sy="100000" w14:kx="0" w14:ky="0" w14:algn="tl">
                  <w14:srgbClr w14:val="000000">
                    <w14:alpha w14:val="60000"/>
                  </w14:srgbClr>
                </w14:shadow>
              </w:rPr>
            </w:pPr>
            <w:r w:rsidRPr="000E51BD">
              <w:rPr>
                <w:rFonts w:ascii="Calibri" w:hAnsi="Calibri"/>
                <w:b/>
                <w:i/>
                <w:noProof/>
                <w:sz w:val="32"/>
                <w:szCs w:val="32"/>
                <w:lang w:eastAsia="en-GB"/>
                <w14:shadow w14:blurRad="50800" w14:dist="38100" w14:dir="2700000" w14:sx="100000" w14:sy="100000" w14:kx="0" w14:ky="0" w14:algn="tl">
                  <w14:srgbClr w14:val="000000">
                    <w14:alpha w14:val="60000"/>
                  </w14:srgbClr>
                </w14:shadow>
              </w:rPr>
              <w:drawing>
                <wp:inline distT="0" distB="0" distL="0" distR="0" wp14:anchorId="7EACAE29" wp14:editId="41A24644">
                  <wp:extent cx="1285875" cy="695325"/>
                  <wp:effectExtent l="19050" t="0" r="9525" b="0"/>
                  <wp:docPr id="1" name="Picture 1" descr="j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na"/>
                          <pic:cNvPicPr>
                            <a:picLocks noChangeAspect="1" noChangeArrowheads="1"/>
                          </pic:cNvPicPr>
                        </pic:nvPicPr>
                        <pic:blipFill>
                          <a:blip r:embed="rId9"/>
                          <a:srcRect/>
                          <a:stretch>
                            <a:fillRect/>
                          </a:stretch>
                        </pic:blipFill>
                        <pic:spPr bwMode="auto">
                          <a:xfrm>
                            <a:off x="0" y="0"/>
                            <a:ext cx="1285875" cy="695325"/>
                          </a:xfrm>
                          <a:prstGeom prst="rect">
                            <a:avLst/>
                          </a:prstGeom>
                          <a:noFill/>
                          <a:ln w="9525">
                            <a:noFill/>
                            <a:miter lim="800000"/>
                            <a:headEnd/>
                            <a:tailEnd/>
                          </a:ln>
                        </pic:spPr>
                      </pic:pic>
                    </a:graphicData>
                  </a:graphic>
                </wp:inline>
              </w:drawing>
            </w:r>
          </w:p>
        </w:tc>
        <w:tc>
          <w:tcPr>
            <w:tcW w:w="3245" w:type="dxa"/>
            <w:tcBorders>
              <w:top w:val="thinThickThinSmallGap" w:sz="24" w:space="0" w:color="auto"/>
              <w:bottom w:val="thinThickThinSmallGap" w:sz="24" w:space="0" w:color="auto"/>
            </w:tcBorders>
          </w:tcPr>
          <w:p w:rsidR="00684A86" w:rsidRPr="000E51BD" w:rsidRDefault="00684A86" w:rsidP="00055E37">
            <w:pPr>
              <w:jc w:val="center"/>
              <w:rPr>
                <w:rFonts w:ascii="Calibri" w:hAnsi="Calibri"/>
                <w:b/>
                <w:i/>
                <w:sz w:val="32"/>
                <w:szCs w:val="32"/>
                <w14:shadow w14:blurRad="50800" w14:dist="38100" w14:dir="2700000" w14:sx="100000" w14:sy="100000" w14:kx="0" w14:ky="0" w14:algn="tl">
                  <w14:srgbClr w14:val="000000">
                    <w14:alpha w14:val="60000"/>
                  </w14:srgbClr>
                </w14:shadow>
              </w:rPr>
            </w:pPr>
          </w:p>
          <w:p w:rsidR="00684A86" w:rsidRPr="00AD2588" w:rsidRDefault="00684A86" w:rsidP="00055E37">
            <w:pPr>
              <w:jc w:val="center"/>
              <w:rPr>
                <w:rFonts w:ascii="Calibri" w:hAnsi="Calibri"/>
                <w:b/>
                <w:i/>
                <w:sz w:val="44"/>
                <w:szCs w:val="52"/>
                <w14:shadow w14:blurRad="50800" w14:dist="38100" w14:dir="2700000" w14:sx="100000" w14:sy="100000" w14:kx="0" w14:ky="0" w14:algn="tl">
                  <w14:srgbClr w14:val="000000">
                    <w14:alpha w14:val="60000"/>
                  </w14:srgbClr>
                </w14:shadow>
              </w:rPr>
            </w:pPr>
            <w:r w:rsidRPr="00AD2588">
              <w:rPr>
                <w:rFonts w:ascii="Calibri" w:hAnsi="Calibri"/>
                <w:b/>
                <w:i/>
                <w:sz w:val="44"/>
                <w:szCs w:val="52"/>
                <w14:shadow w14:blurRad="50800" w14:dist="38100" w14:dir="2700000" w14:sx="100000" w14:sy="100000" w14:kx="0" w14:ky="0" w14:algn="tl">
                  <w14:srgbClr w14:val="000000">
                    <w14:alpha w14:val="60000"/>
                  </w14:srgbClr>
                </w14:shadow>
              </w:rPr>
              <w:t>Data Briefing</w:t>
            </w:r>
          </w:p>
          <w:p w:rsidR="00684A86" w:rsidRPr="000E51BD" w:rsidRDefault="00AD2588" w:rsidP="00BE1A64">
            <w:pPr>
              <w:jc w:val="center"/>
              <w:rPr>
                <w:rFonts w:ascii="Calibri" w:hAnsi="Calibri"/>
                <w:b/>
                <w:i/>
                <w:sz w:val="32"/>
                <w:szCs w:val="32"/>
                <w14:shadow w14:blurRad="50800" w14:dist="38100" w14:dir="2700000" w14:sx="100000" w14:sy="100000" w14:kx="0" w14:ky="0" w14:algn="tl">
                  <w14:srgbClr w14:val="000000">
                    <w14:alpha w14:val="60000"/>
                  </w14:srgbClr>
                </w14:shadow>
              </w:rPr>
            </w:pPr>
            <w:r w:rsidRPr="00AD2588">
              <w:rPr>
                <w:rFonts w:ascii="Calibri" w:hAnsi="Calibri"/>
                <w:b/>
                <w:i/>
                <w:sz w:val="32"/>
                <w:szCs w:val="52"/>
                <w14:shadow w14:blurRad="50800" w14:dist="38100" w14:dir="2700000" w14:sx="100000" w14:sy="100000" w14:kx="0" w14:ky="0" w14:algn="tl">
                  <w14:srgbClr w14:val="000000">
                    <w14:alpha w14:val="60000"/>
                  </w14:srgbClr>
                </w14:shadow>
              </w:rPr>
              <w:t xml:space="preserve">Smoking Prevalence </w:t>
            </w:r>
            <w:r w:rsidR="00BE1A64">
              <w:rPr>
                <w:rFonts w:ascii="Calibri" w:hAnsi="Calibri"/>
                <w:b/>
                <w:i/>
                <w:sz w:val="32"/>
                <w:szCs w:val="52"/>
                <w14:shadow w14:blurRad="50800" w14:dist="38100" w14:dir="2700000" w14:sx="100000" w14:sy="100000" w14:kx="0" w14:ky="0" w14:algn="tl">
                  <w14:srgbClr w14:val="000000">
                    <w14:alpha w14:val="60000"/>
                  </w14:srgbClr>
                </w14:shadow>
              </w:rPr>
              <w:t>March</w:t>
            </w:r>
            <w:r>
              <w:rPr>
                <w:rFonts w:ascii="Calibri" w:hAnsi="Calibri"/>
                <w:b/>
                <w:i/>
                <w:sz w:val="32"/>
                <w:szCs w:val="32"/>
                <w14:shadow w14:blurRad="50800" w14:dist="38100" w14:dir="2700000" w14:sx="100000" w14:sy="100000" w14:kx="0" w14:ky="0" w14:algn="tl">
                  <w14:srgbClr w14:val="000000">
                    <w14:alpha w14:val="60000"/>
                  </w14:srgbClr>
                </w14:shadow>
              </w:rPr>
              <w:t xml:space="preserve"> 2015</w:t>
            </w:r>
          </w:p>
          <w:p w:rsidR="00684A86" w:rsidRPr="000E51BD" w:rsidRDefault="00684A86" w:rsidP="00836A80">
            <w:pPr>
              <w:rPr>
                <w:rFonts w:ascii="Calibri" w:hAnsi="Calibri"/>
                <w:b/>
                <w:i/>
                <w:sz w:val="32"/>
                <w:szCs w:val="32"/>
                <w14:shadow w14:blurRad="50800" w14:dist="38100" w14:dir="2700000" w14:sx="100000" w14:sy="100000" w14:kx="0" w14:ky="0" w14:algn="tl">
                  <w14:srgbClr w14:val="000000">
                    <w14:alpha w14:val="60000"/>
                  </w14:srgbClr>
                </w14:shadow>
              </w:rPr>
            </w:pPr>
          </w:p>
        </w:tc>
        <w:tc>
          <w:tcPr>
            <w:tcW w:w="3541" w:type="dxa"/>
            <w:tcBorders>
              <w:top w:val="thinThickThinSmallGap" w:sz="24" w:space="0" w:color="auto"/>
              <w:bottom w:val="thinThickThinSmallGap" w:sz="24" w:space="0" w:color="auto"/>
              <w:right w:val="thinThickThinSmallGap" w:sz="24" w:space="0" w:color="auto"/>
            </w:tcBorders>
          </w:tcPr>
          <w:p w:rsidR="00684A86" w:rsidRPr="000E51BD" w:rsidRDefault="00684A86" w:rsidP="00836A80">
            <w:pPr>
              <w:rPr>
                <w:rFonts w:ascii="Calibri" w:hAnsi="Calibri"/>
                <w:b/>
                <w:i/>
                <w:sz w:val="32"/>
                <w:szCs w:val="32"/>
                <w14:shadow w14:blurRad="50800" w14:dist="38100" w14:dir="2700000" w14:sx="100000" w14:sy="100000" w14:kx="0" w14:ky="0" w14:algn="tl">
                  <w14:srgbClr w14:val="000000">
                    <w14:alpha w14:val="60000"/>
                  </w14:srgbClr>
                </w14:shadow>
              </w:rPr>
            </w:pPr>
          </w:p>
          <w:p w:rsidR="00684A86" w:rsidRPr="000E51BD" w:rsidRDefault="00916910" w:rsidP="00055E37">
            <w:pPr>
              <w:jc w:val="center"/>
              <w:rPr>
                <w:rFonts w:ascii="Calibri" w:hAnsi="Calibri"/>
                <w:b/>
                <w:i/>
                <w:sz w:val="32"/>
                <w:szCs w:val="32"/>
                <w14:shadow w14:blurRad="50800" w14:dist="38100" w14:dir="2700000" w14:sx="100000" w14:sy="100000" w14:kx="0" w14:ky="0" w14:algn="tl">
                  <w14:srgbClr w14:val="000000">
                    <w14:alpha w14:val="60000"/>
                  </w14:srgbClr>
                </w14:shadow>
              </w:rPr>
            </w:pPr>
            <w:r w:rsidRPr="0008583A">
              <w:rPr>
                <w:rFonts w:ascii="Calibri" w:hAnsi="Calibri"/>
                <w:b/>
                <w:i/>
                <w:noProof/>
                <w:sz w:val="32"/>
                <w:szCs w:val="32"/>
                <w:lang w:eastAsia="en-GB"/>
              </w:rPr>
              <w:drawing>
                <wp:inline distT="0" distB="0" distL="0" distR="0" wp14:anchorId="1879FDDE" wp14:editId="1B0CFBF4">
                  <wp:extent cx="1878965" cy="512445"/>
                  <wp:effectExtent l="0" t="0" r="6985" b="1905"/>
                  <wp:docPr id="6" name="Picture 6" descr="Research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Un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8965" cy="512445"/>
                          </a:xfrm>
                          <a:prstGeom prst="rect">
                            <a:avLst/>
                          </a:prstGeom>
                          <a:noFill/>
                          <a:ln>
                            <a:noFill/>
                          </a:ln>
                        </pic:spPr>
                      </pic:pic>
                    </a:graphicData>
                  </a:graphic>
                </wp:inline>
              </w:drawing>
            </w:r>
          </w:p>
        </w:tc>
      </w:tr>
    </w:tbl>
    <w:p w:rsidR="00684A86" w:rsidRPr="00833E7B" w:rsidRDefault="00684A86" w:rsidP="00C43E7E">
      <w:pPr>
        <w:jc w:val="center"/>
        <w:rPr>
          <w:rFonts w:ascii="Calibri" w:hAnsi="Calibri" w:cs="Calibri"/>
          <w:b/>
          <w:sz w:val="28"/>
          <w:szCs w:val="28"/>
        </w:rPr>
      </w:pPr>
    </w:p>
    <w:p w:rsidR="00811CAC" w:rsidRDefault="00811CAC" w:rsidP="00811CAC">
      <w:pPr>
        <w:shd w:val="clear" w:color="auto" w:fill="DDD9C3" w:themeFill="background2" w:themeFillShade="E6"/>
        <w:ind w:left="142" w:hanging="142"/>
        <w:jc w:val="both"/>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r>
    </w:p>
    <w:p w:rsidR="00CB4FE3" w:rsidRPr="00CB4FE3" w:rsidRDefault="00811CAC" w:rsidP="00CB4FE3">
      <w:pPr>
        <w:shd w:val="clear" w:color="auto" w:fill="DDD9C3" w:themeFill="background2" w:themeFillShade="E6"/>
        <w:ind w:left="142" w:hanging="142"/>
        <w:jc w:val="both"/>
        <w:rPr>
          <w:rFonts w:asciiTheme="minorHAnsi" w:hAnsiTheme="minorHAnsi" w:cstheme="minorHAnsi"/>
          <w:sz w:val="28"/>
        </w:rPr>
      </w:pPr>
      <w:r>
        <w:rPr>
          <w:rFonts w:asciiTheme="minorHAnsi" w:hAnsiTheme="minorHAnsi" w:cstheme="minorHAnsi"/>
          <w:sz w:val="24"/>
        </w:rPr>
        <w:t xml:space="preserve"> </w:t>
      </w:r>
      <w:r>
        <w:rPr>
          <w:rFonts w:asciiTheme="minorHAnsi" w:hAnsiTheme="minorHAnsi" w:cstheme="minorHAnsi"/>
          <w:sz w:val="24"/>
        </w:rPr>
        <w:tab/>
      </w:r>
      <w:r w:rsidR="00AD2588" w:rsidRPr="00AD2588">
        <w:rPr>
          <w:rFonts w:asciiTheme="minorHAnsi" w:hAnsiTheme="minorHAnsi" w:cstheme="minorHAnsi"/>
          <w:sz w:val="24"/>
        </w:rPr>
        <w:t>The Integrated Household Survey (IHS) is the largest social survey conducted by the Office of National Statistics for the UK.</w:t>
      </w:r>
      <w:r w:rsidR="00CB4FE3">
        <w:rPr>
          <w:rFonts w:asciiTheme="minorHAnsi" w:hAnsiTheme="minorHAnsi" w:cstheme="minorHAnsi"/>
          <w:sz w:val="24"/>
        </w:rPr>
        <w:t xml:space="preserve"> </w:t>
      </w:r>
      <w:r w:rsidR="00AD2588" w:rsidRPr="00AD2588">
        <w:rPr>
          <w:rFonts w:asciiTheme="minorHAnsi" w:hAnsiTheme="minorHAnsi" w:cstheme="minorHAnsi"/>
          <w:sz w:val="24"/>
        </w:rPr>
        <w:t xml:space="preserve"> </w:t>
      </w:r>
      <w:r w:rsidR="00CB4FE3">
        <w:rPr>
          <w:rFonts w:asciiTheme="minorHAnsi" w:hAnsiTheme="minorHAnsi" w:cstheme="minorHAnsi"/>
          <w:sz w:val="24"/>
        </w:rPr>
        <w:t xml:space="preserve">The survey is conducted annually and the </w:t>
      </w:r>
      <w:r w:rsidR="00AD2588" w:rsidRPr="00AD2588">
        <w:rPr>
          <w:rFonts w:asciiTheme="minorHAnsi" w:hAnsiTheme="minorHAnsi" w:cstheme="minorHAnsi"/>
          <w:sz w:val="24"/>
        </w:rPr>
        <w:t xml:space="preserve">2013 wave holds data for approximately 340,000 individual respondents. </w:t>
      </w:r>
      <w:r w:rsidR="00CB4FE3">
        <w:rPr>
          <w:rFonts w:asciiTheme="minorHAnsi" w:hAnsiTheme="minorHAnsi" w:cstheme="minorHAnsi"/>
          <w:sz w:val="24"/>
        </w:rPr>
        <w:t>A</w:t>
      </w:r>
      <w:r w:rsidR="00CB4FE3" w:rsidRPr="00CB4FE3">
        <w:rPr>
          <w:rFonts w:asciiTheme="minorHAnsi" w:hAnsiTheme="minorHAnsi" w:cstheme="minorHAnsi"/>
          <w:sz w:val="24"/>
        </w:rPr>
        <w:t xml:space="preserve"> large sample size is achieved by asking a core </w:t>
      </w:r>
      <w:r w:rsidR="00CB4FE3">
        <w:rPr>
          <w:rFonts w:asciiTheme="minorHAnsi" w:hAnsiTheme="minorHAnsi" w:cstheme="minorHAnsi"/>
          <w:sz w:val="24"/>
        </w:rPr>
        <w:t>s</w:t>
      </w:r>
      <w:r w:rsidR="00CB4FE3" w:rsidRPr="00CB4FE3">
        <w:rPr>
          <w:rFonts w:asciiTheme="minorHAnsi" w:hAnsiTheme="minorHAnsi" w:cstheme="minorHAnsi"/>
          <w:sz w:val="24"/>
        </w:rPr>
        <w:t>e</w:t>
      </w:r>
      <w:r w:rsidR="00CB4FE3">
        <w:rPr>
          <w:rFonts w:asciiTheme="minorHAnsi" w:hAnsiTheme="minorHAnsi" w:cstheme="minorHAnsi"/>
          <w:sz w:val="24"/>
        </w:rPr>
        <w:t>t</w:t>
      </w:r>
      <w:r w:rsidR="00CB4FE3" w:rsidRPr="00CB4FE3">
        <w:rPr>
          <w:rFonts w:asciiTheme="minorHAnsi" w:hAnsiTheme="minorHAnsi" w:cstheme="minorHAnsi"/>
          <w:sz w:val="24"/>
        </w:rPr>
        <w:t xml:space="preserve"> of questions on two </w:t>
      </w:r>
      <w:r w:rsidR="00CB4FE3">
        <w:rPr>
          <w:rFonts w:asciiTheme="minorHAnsi" w:hAnsiTheme="minorHAnsi" w:cstheme="minorHAnsi"/>
          <w:sz w:val="24"/>
        </w:rPr>
        <w:t xml:space="preserve">Office </w:t>
      </w:r>
      <w:r w:rsidR="00A14D6F">
        <w:rPr>
          <w:rFonts w:asciiTheme="minorHAnsi" w:hAnsiTheme="minorHAnsi" w:cstheme="minorHAnsi"/>
          <w:sz w:val="24"/>
        </w:rPr>
        <w:t>for</w:t>
      </w:r>
      <w:r w:rsidR="00CB4FE3">
        <w:rPr>
          <w:rFonts w:asciiTheme="minorHAnsi" w:hAnsiTheme="minorHAnsi" w:cstheme="minorHAnsi"/>
          <w:sz w:val="24"/>
        </w:rPr>
        <w:t xml:space="preserve"> National Statistics (ONS)</w:t>
      </w:r>
      <w:r w:rsidR="00CB4FE3" w:rsidRPr="00CB4FE3">
        <w:rPr>
          <w:rFonts w:asciiTheme="minorHAnsi" w:hAnsiTheme="minorHAnsi" w:cstheme="minorHAnsi"/>
          <w:sz w:val="24"/>
        </w:rPr>
        <w:t xml:space="preserve"> household surveys: the Annual Population Survey (APS) and the Living Costs and Food Survey (LCF).</w:t>
      </w:r>
      <w:r w:rsidR="00CB4FE3">
        <w:rPr>
          <w:rFonts w:asciiTheme="minorHAnsi" w:hAnsiTheme="minorHAnsi" w:cstheme="minorHAnsi"/>
          <w:sz w:val="24"/>
        </w:rPr>
        <w:t xml:space="preserve"> </w:t>
      </w:r>
      <w:r w:rsidR="00AD2588" w:rsidRPr="00AD2588">
        <w:rPr>
          <w:rFonts w:asciiTheme="minorHAnsi" w:hAnsiTheme="minorHAnsi" w:cstheme="minorHAnsi"/>
          <w:sz w:val="24"/>
        </w:rPr>
        <w:t>Topics under study include sexual identity, smoking prevalence and perceived general health. The smoking prevalence questions in the 2013 wave had a total of 268,102 valid responses.</w:t>
      </w:r>
      <w:r w:rsidR="00CB4FE3">
        <w:rPr>
          <w:rFonts w:asciiTheme="minorHAnsi" w:hAnsiTheme="minorHAnsi" w:cstheme="minorHAnsi"/>
          <w:sz w:val="24"/>
        </w:rPr>
        <w:t xml:space="preserve"> </w:t>
      </w:r>
    </w:p>
    <w:p w:rsidR="00AD2588" w:rsidRPr="00AD2588" w:rsidRDefault="00AD2588" w:rsidP="00811CAC">
      <w:pPr>
        <w:shd w:val="clear" w:color="auto" w:fill="DDD9C3" w:themeFill="background2" w:themeFillShade="E6"/>
        <w:ind w:left="142" w:hanging="142"/>
        <w:jc w:val="both"/>
        <w:rPr>
          <w:rFonts w:asciiTheme="minorHAnsi" w:hAnsiTheme="minorHAnsi" w:cstheme="minorHAnsi"/>
          <w:sz w:val="24"/>
        </w:rPr>
      </w:pPr>
    </w:p>
    <w:p w:rsidR="00AD2588" w:rsidRDefault="00811CAC" w:rsidP="00811CAC">
      <w:pPr>
        <w:shd w:val="clear" w:color="auto" w:fill="DDD9C3" w:themeFill="background2" w:themeFillShade="E6"/>
        <w:ind w:left="142" w:hanging="142"/>
        <w:jc w:val="both"/>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r>
      <w:r w:rsidR="00AD2588" w:rsidRPr="00AD2588">
        <w:rPr>
          <w:rFonts w:asciiTheme="minorHAnsi" w:hAnsiTheme="minorHAnsi" w:cstheme="minorHAnsi"/>
          <w:sz w:val="24"/>
        </w:rPr>
        <w:t>This briefing outlines the most recently published data (November 26</w:t>
      </w:r>
      <w:r w:rsidR="00AD2588" w:rsidRPr="00AD2588">
        <w:rPr>
          <w:rFonts w:asciiTheme="minorHAnsi" w:hAnsiTheme="minorHAnsi" w:cstheme="minorHAnsi"/>
          <w:sz w:val="24"/>
          <w:vertAlign w:val="superscript"/>
        </w:rPr>
        <w:t>th</w:t>
      </w:r>
      <w:r w:rsidR="00AD2588" w:rsidRPr="00AD2588">
        <w:rPr>
          <w:rFonts w:asciiTheme="minorHAnsi" w:hAnsiTheme="minorHAnsi" w:cstheme="minorHAnsi"/>
          <w:sz w:val="24"/>
        </w:rPr>
        <w:t xml:space="preserve"> 2014) on adult smoking prevalence </w:t>
      </w:r>
      <w:r w:rsidR="00D331C8">
        <w:rPr>
          <w:rFonts w:asciiTheme="minorHAnsi" w:hAnsiTheme="minorHAnsi" w:cstheme="minorHAnsi"/>
          <w:sz w:val="24"/>
        </w:rPr>
        <w:t xml:space="preserve">in West Sussex </w:t>
      </w:r>
      <w:r w:rsidR="00AD2588" w:rsidRPr="00AD2588">
        <w:rPr>
          <w:rFonts w:asciiTheme="minorHAnsi" w:hAnsiTheme="minorHAnsi" w:cstheme="minorHAnsi"/>
          <w:sz w:val="24"/>
        </w:rPr>
        <w:t xml:space="preserve">by </w:t>
      </w:r>
      <w:r w:rsidR="00D331C8">
        <w:rPr>
          <w:rFonts w:asciiTheme="minorHAnsi" w:hAnsiTheme="minorHAnsi" w:cstheme="minorHAnsi"/>
          <w:sz w:val="24"/>
        </w:rPr>
        <w:t>local</w:t>
      </w:r>
      <w:r w:rsidR="00AD2588" w:rsidRPr="00AD2588">
        <w:rPr>
          <w:rFonts w:asciiTheme="minorHAnsi" w:hAnsiTheme="minorHAnsi" w:cstheme="minorHAnsi"/>
          <w:sz w:val="24"/>
        </w:rPr>
        <w:t xml:space="preserve"> authority. The period reported each year in the IHS changed from financial year (April to March) to calendar year (January to December) in 2012. </w:t>
      </w:r>
    </w:p>
    <w:p w:rsidR="00BA18C8" w:rsidRDefault="00BA18C8" w:rsidP="00811CAC">
      <w:pPr>
        <w:shd w:val="clear" w:color="auto" w:fill="DDD9C3" w:themeFill="background2" w:themeFillShade="E6"/>
        <w:ind w:left="142" w:hanging="142"/>
        <w:jc w:val="both"/>
        <w:rPr>
          <w:rFonts w:asciiTheme="minorHAnsi" w:hAnsiTheme="minorHAnsi" w:cstheme="minorHAnsi"/>
          <w:sz w:val="24"/>
        </w:rPr>
      </w:pPr>
    </w:p>
    <w:p w:rsidR="00BA18C8" w:rsidRPr="00AD2588" w:rsidRDefault="00811CAC" w:rsidP="00811CAC">
      <w:pPr>
        <w:shd w:val="clear" w:color="auto" w:fill="DDD9C3" w:themeFill="background2" w:themeFillShade="E6"/>
        <w:ind w:left="142" w:hanging="142"/>
        <w:jc w:val="both"/>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r>
      <w:r w:rsidR="00CB4FE3">
        <w:rPr>
          <w:rFonts w:asciiTheme="minorHAnsi" w:hAnsiTheme="minorHAnsi" w:cstheme="minorHAnsi"/>
          <w:sz w:val="24"/>
        </w:rPr>
        <w:t xml:space="preserve">It should be noted that the smoking prevalence data in the IHS are not age-standardised and as a result variation between areas may be a result of differences in population structure. </w:t>
      </w:r>
      <w:r w:rsidR="00D331C8">
        <w:rPr>
          <w:rFonts w:asciiTheme="minorHAnsi" w:hAnsiTheme="minorHAnsi" w:cstheme="minorHAnsi"/>
          <w:sz w:val="24"/>
        </w:rPr>
        <w:t>In addition, t</w:t>
      </w:r>
      <w:r w:rsidR="004C524D" w:rsidRPr="004C524D">
        <w:rPr>
          <w:rFonts w:asciiTheme="minorHAnsi" w:hAnsiTheme="minorHAnsi" w:cstheme="minorHAnsi"/>
          <w:sz w:val="24"/>
        </w:rPr>
        <w:t xml:space="preserve">he </w:t>
      </w:r>
      <w:r w:rsidR="009D2290">
        <w:rPr>
          <w:rFonts w:asciiTheme="minorHAnsi" w:hAnsiTheme="minorHAnsi" w:cstheme="minorHAnsi"/>
          <w:sz w:val="24"/>
        </w:rPr>
        <w:t>responses are</w:t>
      </w:r>
      <w:r w:rsidR="004C524D">
        <w:rPr>
          <w:rFonts w:asciiTheme="minorHAnsi" w:hAnsiTheme="minorHAnsi" w:cstheme="minorHAnsi"/>
          <w:sz w:val="24"/>
        </w:rPr>
        <w:t xml:space="preserve"> </w:t>
      </w:r>
      <w:r w:rsidR="004C524D" w:rsidRPr="004C524D">
        <w:rPr>
          <w:rFonts w:asciiTheme="minorHAnsi" w:hAnsiTheme="minorHAnsi" w:cstheme="minorHAnsi"/>
          <w:sz w:val="24"/>
        </w:rPr>
        <w:t>weighted in order to improve representativeness of the sample</w:t>
      </w:r>
      <w:r w:rsidR="009D2290">
        <w:rPr>
          <w:rFonts w:asciiTheme="minorHAnsi" w:hAnsiTheme="minorHAnsi" w:cstheme="minorHAnsi"/>
          <w:sz w:val="24"/>
        </w:rPr>
        <w:t xml:space="preserve"> and as such the values given may not reflect true counts of smokers</w:t>
      </w:r>
      <w:r w:rsidR="004C524D" w:rsidRPr="004C524D">
        <w:rPr>
          <w:rFonts w:asciiTheme="minorHAnsi" w:hAnsiTheme="minorHAnsi" w:cstheme="minorHAnsi"/>
          <w:sz w:val="24"/>
        </w:rPr>
        <w:t>. The weights</w:t>
      </w:r>
      <w:r w:rsidR="009D2290">
        <w:rPr>
          <w:rStyle w:val="FootnoteReference"/>
          <w:rFonts w:asciiTheme="minorHAnsi" w:hAnsiTheme="minorHAnsi"/>
          <w:sz w:val="24"/>
        </w:rPr>
        <w:footnoteReference w:id="1"/>
      </w:r>
      <w:r w:rsidR="004C524D" w:rsidRPr="004C524D">
        <w:rPr>
          <w:rFonts w:asciiTheme="minorHAnsi" w:hAnsiTheme="minorHAnsi" w:cstheme="minorHAnsi"/>
          <w:sz w:val="24"/>
        </w:rPr>
        <w:t xml:space="preserve"> take into account survey design</w:t>
      </w:r>
      <w:r w:rsidR="009D2290">
        <w:rPr>
          <w:rFonts w:asciiTheme="minorHAnsi" w:hAnsiTheme="minorHAnsi" w:cstheme="minorHAnsi"/>
          <w:sz w:val="24"/>
        </w:rPr>
        <w:t>, attrition</w:t>
      </w:r>
      <w:r w:rsidR="004C524D" w:rsidRPr="004C524D">
        <w:rPr>
          <w:rFonts w:asciiTheme="minorHAnsi" w:hAnsiTheme="minorHAnsi" w:cstheme="minorHAnsi"/>
          <w:sz w:val="24"/>
        </w:rPr>
        <w:t xml:space="preserve"> </w:t>
      </w:r>
      <w:r w:rsidR="00D331C8">
        <w:rPr>
          <w:rFonts w:asciiTheme="minorHAnsi" w:hAnsiTheme="minorHAnsi" w:cstheme="minorHAnsi"/>
          <w:sz w:val="24"/>
        </w:rPr>
        <w:t xml:space="preserve">of participants </w:t>
      </w:r>
      <w:r w:rsidR="004C524D" w:rsidRPr="004C524D">
        <w:rPr>
          <w:rFonts w:asciiTheme="minorHAnsi" w:hAnsiTheme="minorHAnsi" w:cstheme="minorHAnsi"/>
          <w:sz w:val="24"/>
        </w:rPr>
        <w:t xml:space="preserve">and </w:t>
      </w:r>
      <w:r w:rsidR="009D2290">
        <w:rPr>
          <w:rFonts w:asciiTheme="minorHAnsi" w:hAnsiTheme="minorHAnsi" w:cstheme="minorHAnsi"/>
          <w:sz w:val="24"/>
        </w:rPr>
        <w:t xml:space="preserve">other </w:t>
      </w:r>
      <w:r w:rsidR="004C524D" w:rsidRPr="004C524D">
        <w:rPr>
          <w:rFonts w:asciiTheme="minorHAnsi" w:hAnsiTheme="minorHAnsi" w:cstheme="minorHAnsi"/>
          <w:sz w:val="24"/>
        </w:rPr>
        <w:t>non-response</w:t>
      </w:r>
      <w:r w:rsidR="009D2290">
        <w:rPr>
          <w:rFonts w:asciiTheme="minorHAnsi" w:hAnsiTheme="minorHAnsi" w:cstheme="minorHAnsi"/>
          <w:sz w:val="24"/>
        </w:rPr>
        <w:t xml:space="preserve"> factors</w:t>
      </w:r>
      <w:r w:rsidR="004C524D" w:rsidRPr="004C524D">
        <w:rPr>
          <w:rFonts w:asciiTheme="minorHAnsi" w:hAnsiTheme="minorHAnsi" w:cstheme="minorHAnsi"/>
          <w:sz w:val="24"/>
        </w:rPr>
        <w:t>.</w:t>
      </w:r>
      <w:r w:rsidR="004C524D">
        <w:rPr>
          <w:rFonts w:asciiTheme="minorHAnsi" w:hAnsiTheme="minorHAnsi" w:cstheme="minorHAnsi"/>
          <w:sz w:val="24"/>
        </w:rPr>
        <w:t xml:space="preserve"> </w:t>
      </w:r>
      <w:r w:rsidR="00BA18C8">
        <w:rPr>
          <w:rFonts w:asciiTheme="minorHAnsi" w:hAnsiTheme="minorHAnsi" w:cstheme="minorHAnsi"/>
          <w:sz w:val="24"/>
        </w:rPr>
        <w:t xml:space="preserve">Charts for local authorities include 95% </w:t>
      </w:r>
      <w:r w:rsidR="00D331C8">
        <w:rPr>
          <w:rFonts w:asciiTheme="minorHAnsi" w:hAnsiTheme="minorHAnsi" w:cstheme="minorHAnsi"/>
          <w:sz w:val="24"/>
        </w:rPr>
        <w:t>c</w:t>
      </w:r>
      <w:r w:rsidR="00BA18C8">
        <w:rPr>
          <w:rFonts w:asciiTheme="minorHAnsi" w:hAnsiTheme="minorHAnsi" w:cstheme="minorHAnsi"/>
          <w:sz w:val="24"/>
        </w:rPr>
        <w:t xml:space="preserve">onfidence </w:t>
      </w:r>
      <w:r w:rsidR="00D331C8">
        <w:rPr>
          <w:rFonts w:asciiTheme="minorHAnsi" w:hAnsiTheme="minorHAnsi" w:cstheme="minorHAnsi"/>
          <w:sz w:val="24"/>
        </w:rPr>
        <w:t>i</w:t>
      </w:r>
      <w:r w:rsidR="00BA18C8">
        <w:rPr>
          <w:rFonts w:asciiTheme="minorHAnsi" w:hAnsiTheme="minorHAnsi" w:cstheme="minorHAnsi"/>
          <w:sz w:val="24"/>
        </w:rPr>
        <w:t>nterval values</w:t>
      </w:r>
      <w:r w:rsidR="00D331C8">
        <w:rPr>
          <w:rFonts w:asciiTheme="minorHAnsi" w:hAnsiTheme="minorHAnsi" w:cstheme="minorHAnsi"/>
          <w:sz w:val="24"/>
        </w:rPr>
        <w:t>.</w:t>
      </w:r>
      <w:r w:rsidR="00BA18C8">
        <w:rPr>
          <w:rFonts w:asciiTheme="minorHAnsi" w:hAnsiTheme="minorHAnsi" w:cstheme="minorHAnsi"/>
          <w:sz w:val="24"/>
        </w:rPr>
        <w:t xml:space="preserve"> </w:t>
      </w:r>
    </w:p>
    <w:p w:rsidR="00832E76" w:rsidRPr="004E5819" w:rsidRDefault="00832E76" w:rsidP="004A00EB">
      <w:pPr>
        <w:shd w:val="clear" w:color="auto" w:fill="DDD9C3" w:themeFill="background2" w:themeFillShade="E6"/>
        <w:rPr>
          <w:rFonts w:ascii="Calibri" w:hAnsi="Calibri" w:cs="Calibri"/>
          <w:sz w:val="24"/>
          <w:szCs w:val="24"/>
        </w:rPr>
      </w:pPr>
    </w:p>
    <w:p w:rsidR="004E5819" w:rsidRDefault="004E5819" w:rsidP="004E5819">
      <w:pPr>
        <w:shd w:val="clear" w:color="auto" w:fill="DDD9C3" w:themeFill="background2" w:themeFillShade="E6"/>
        <w:rPr>
          <w:rFonts w:ascii="Calibri" w:hAnsi="Calibri" w:cs="Calibri"/>
          <w:b/>
          <w:sz w:val="24"/>
          <w:szCs w:val="24"/>
        </w:rPr>
      </w:pPr>
      <w:r w:rsidRPr="004E5819">
        <w:rPr>
          <w:rFonts w:ascii="Calibri" w:hAnsi="Calibri" w:cs="Calibri"/>
          <w:sz w:val="24"/>
          <w:szCs w:val="24"/>
        </w:rPr>
        <w:t>In addition, the briefing outlines</w:t>
      </w:r>
      <w:r>
        <w:rPr>
          <w:rFonts w:ascii="Calibri" w:hAnsi="Calibri" w:cs="Calibri"/>
          <w:b/>
          <w:sz w:val="24"/>
          <w:szCs w:val="24"/>
        </w:rPr>
        <w:t xml:space="preserve"> </w:t>
      </w:r>
      <w:r w:rsidRPr="0097316E">
        <w:rPr>
          <w:rFonts w:ascii="Calibri" w:hAnsi="Calibri"/>
        </w:rPr>
        <w:t xml:space="preserve">synthetic estimates </w:t>
      </w:r>
      <w:r>
        <w:rPr>
          <w:rFonts w:ascii="Calibri" w:hAnsi="Calibri"/>
        </w:rPr>
        <w:t>of</w:t>
      </w:r>
      <w:r w:rsidRPr="0097316E">
        <w:rPr>
          <w:rFonts w:ascii="Calibri" w:hAnsi="Calibri"/>
        </w:rPr>
        <w:t xml:space="preserve"> smoking among young people </w:t>
      </w:r>
      <w:r>
        <w:rPr>
          <w:rFonts w:ascii="Calibri" w:hAnsi="Calibri"/>
        </w:rPr>
        <w:t xml:space="preserve">(age 11-19) in West Sussex </w:t>
      </w:r>
      <w:r w:rsidRPr="0097316E">
        <w:rPr>
          <w:rFonts w:ascii="Calibri" w:hAnsi="Calibri"/>
        </w:rPr>
        <w:t>using data</w:t>
      </w:r>
      <w:r>
        <w:rPr>
          <w:rFonts w:ascii="Calibri" w:hAnsi="Calibri"/>
        </w:rPr>
        <w:t xml:space="preserve"> (published January 27</w:t>
      </w:r>
      <w:r w:rsidRPr="004E5819">
        <w:rPr>
          <w:rFonts w:ascii="Calibri" w:hAnsi="Calibri"/>
          <w:vertAlign w:val="superscript"/>
        </w:rPr>
        <w:t>th</w:t>
      </w:r>
      <w:r>
        <w:rPr>
          <w:rFonts w:ascii="Calibri" w:hAnsi="Calibri"/>
          <w:vertAlign w:val="superscript"/>
        </w:rPr>
        <w:t xml:space="preserve"> </w:t>
      </w:r>
      <w:r w:rsidRPr="004E5819">
        <w:rPr>
          <w:rFonts w:ascii="Calibri" w:hAnsi="Calibri"/>
        </w:rPr>
        <w:t>2015)</w:t>
      </w:r>
      <w:r>
        <w:rPr>
          <w:rFonts w:ascii="Calibri" w:hAnsi="Calibri"/>
        </w:rPr>
        <w:t xml:space="preserve"> </w:t>
      </w:r>
      <w:r w:rsidRPr="0097316E">
        <w:rPr>
          <w:rFonts w:ascii="Calibri" w:hAnsi="Calibri"/>
        </w:rPr>
        <w:t>from the Understanding Society survey (pooled data for years 2009-2012).</w:t>
      </w:r>
      <w:r>
        <w:rPr>
          <w:rFonts w:ascii="Calibri" w:hAnsi="Calibri"/>
        </w:rPr>
        <w:t xml:space="preserve"> </w:t>
      </w:r>
    </w:p>
    <w:p w:rsidR="004E5819" w:rsidRDefault="004E5819" w:rsidP="004A00EB">
      <w:pPr>
        <w:shd w:val="clear" w:color="auto" w:fill="DDD9C3" w:themeFill="background2" w:themeFillShade="E6"/>
        <w:rPr>
          <w:rFonts w:ascii="Calibri" w:hAnsi="Calibri" w:cs="Calibri"/>
          <w:b/>
          <w:sz w:val="24"/>
          <w:szCs w:val="24"/>
        </w:rPr>
      </w:pPr>
    </w:p>
    <w:p w:rsidR="004A00EB" w:rsidRDefault="004A00EB" w:rsidP="00DC61AE">
      <w:pPr>
        <w:rPr>
          <w:rFonts w:ascii="Calibri" w:hAnsi="Calibri" w:cs="Calibri"/>
          <w:b/>
          <w:sz w:val="24"/>
          <w:szCs w:val="24"/>
        </w:rPr>
      </w:pPr>
    </w:p>
    <w:p w:rsidR="00FE71E9" w:rsidRDefault="00FE71E9">
      <w:pPr>
        <w:rPr>
          <w:rFonts w:ascii="Calibri" w:hAnsi="Calibri" w:cs="Calibri"/>
          <w:b/>
          <w:sz w:val="24"/>
          <w:szCs w:val="24"/>
        </w:rPr>
      </w:pPr>
      <w:r>
        <w:rPr>
          <w:rFonts w:ascii="Calibri" w:hAnsi="Calibri" w:cs="Calibri"/>
          <w:b/>
          <w:sz w:val="24"/>
          <w:szCs w:val="24"/>
        </w:rPr>
        <w:br w:type="page"/>
      </w:r>
    </w:p>
    <w:p w:rsidR="004A00EB" w:rsidRDefault="004A00EB">
      <w:pPr>
        <w:rPr>
          <w:rFonts w:ascii="Calibri" w:hAnsi="Calibri" w:cs="Calibri"/>
          <w:b/>
          <w:sz w:val="24"/>
          <w:szCs w:val="24"/>
        </w:rPr>
      </w:pPr>
      <w:r>
        <w:rPr>
          <w:rFonts w:ascii="Calibri" w:hAnsi="Calibri" w:cs="Calibri"/>
          <w:b/>
          <w:sz w:val="24"/>
          <w:szCs w:val="24"/>
        </w:rPr>
        <w:lastRenderedPageBreak/>
        <w:t>Headline Figures</w:t>
      </w:r>
    </w:p>
    <w:p w:rsidR="006368FC" w:rsidRDefault="006368FC">
      <w:pPr>
        <w:rPr>
          <w:rFonts w:ascii="Calibri" w:hAnsi="Calibri" w:cs="Calibri"/>
          <w:b/>
          <w:sz w:val="24"/>
          <w:szCs w:val="24"/>
        </w:rPr>
      </w:pPr>
    </w:p>
    <w:p w:rsidR="00BA18C8" w:rsidRDefault="00BA18C8" w:rsidP="00BA18C8">
      <w:pPr>
        <w:pStyle w:val="ListParagraph"/>
        <w:numPr>
          <w:ilvl w:val="0"/>
          <w:numId w:val="17"/>
        </w:numPr>
        <w:jc w:val="both"/>
        <w:rPr>
          <w:rFonts w:asciiTheme="minorHAnsi" w:hAnsiTheme="minorHAnsi" w:cstheme="minorHAnsi"/>
          <w:i/>
          <w:sz w:val="24"/>
        </w:rPr>
      </w:pPr>
      <w:r w:rsidRPr="00BA18C8">
        <w:rPr>
          <w:rFonts w:asciiTheme="minorHAnsi" w:hAnsiTheme="minorHAnsi" w:cstheme="minorHAnsi"/>
          <w:sz w:val="24"/>
        </w:rPr>
        <w:t xml:space="preserve">The prevalence of current cigarette smokers in West Sussex (17.2%) is in line with the South East Region prevalence (17.2%) and is slightly lower than the prevalence for England (18.4%). </w:t>
      </w:r>
      <w:r w:rsidR="00F52760">
        <w:rPr>
          <w:rFonts w:asciiTheme="minorHAnsi" w:hAnsiTheme="minorHAnsi" w:cstheme="minorHAnsi"/>
          <w:sz w:val="24"/>
        </w:rPr>
        <w:t>However, t</w:t>
      </w:r>
      <w:r w:rsidRPr="00BA18C8">
        <w:rPr>
          <w:rFonts w:asciiTheme="minorHAnsi" w:hAnsiTheme="minorHAnsi" w:cstheme="minorHAnsi"/>
          <w:sz w:val="24"/>
        </w:rPr>
        <w:t>here are</w:t>
      </w:r>
      <w:r w:rsidR="00F52760">
        <w:rPr>
          <w:rFonts w:asciiTheme="minorHAnsi" w:hAnsiTheme="minorHAnsi" w:cstheme="minorHAnsi"/>
          <w:sz w:val="24"/>
        </w:rPr>
        <w:t xml:space="preserve"> also</w:t>
      </w:r>
      <w:r w:rsidRPr="00BA18C8">
        <w:rPr>
          <w:rFonts w:asciiTheme="minorHAnsi" w:hAnsiTheme="minorHAnsi" w:cstheme="minorHAnsi"/>
          <w:sz w:val="24"/>
        </w:rPr>
        <w:t xml:space="preserve"> fewer never-smokers in West Sussex</w:t>
      </w:r>
      <w:r w:rsidR="00CE5BB2">
        <w:rPr>
          <w:rFonts w:asciiTheme="minorHAnsi" w:hAnsiTheme="minorHAnsi" w:cstheme="minorHAnsi"/>
          <w:sz w:val="24"/>
        </w:rPr>
        <w:t xml:space="preserve"> (43.0%)</w:t>
      </w:r>
      <w:r w:rsidRPr="00BA18C8">
        <w:rPr>
          <w:rFonts w:asciiTheme="minorHAnsi" w:hAnsiTheme="minorHAnsi" w:cstheme="minorHAnsi"/>
          <w:sz w:val="24"/>
        </w:rPr>
        <w:t xml:space="preserve"> compared to the South East Region</w:t>
      </w:r>
      <w:r w:rsidR="00CE5BB2">
        <w:rPr>
          <w:rFonts w:asciiTheme="minorHAnsi" w:hAnsiTheme="minorHAnsi" w:cstheme="minorHAnsi"/>
          <w:sz w:val="24"/>
        </w:rPr>
        <w:t xml:space="preserve"> (46.3%)</w:t>
      </w:r>
      <w:r w:rsidRPr="00BA18C8">
        <w:rPr>
          <w:rFonts w:asciiTheme="minorHAnsi" w:hAnsiTheme="minorHAnsi" w:cstheme="minorHAnsi"/>
          <w:sz w:val="24"/>
        </w:rPr>
        <w:t xml:space="preserve"> and England </w:t>
      </w:r>
      <w:r w:rsidR="00CE5BB2">
        <w:rPr>
          <w:rFonts w:asciiTheme="minorHAnsi" w:hAnsiTheme="minorHAnsi" w:cstheme="minorHAnsi"/>
          <w:sz w:val="24"/>
        </w:rPr>
        <w:t>(48.1%)</w:t>
      </w:r>
      <w:r w:rsidR="00CB4FE3">
        <w:rPr>
          <w:rFonts w:asciiTheme="minorHAnsi" w:hAnsiTheme="minorHAnsi" w:cstheme="minorHAnsi"/>
          <w:sz w:val="24"/>
        </w:rPr>
        <w:t>(figure 1)</w:t>
      </w:r>
      <w:r w:rsidRPr="00BA18C8">
        <w:rPr>
          <w:rFonts w:asciiTheme="minorHAnsi" w:hAnsiTheme="minorHAnsi" w:cstheme="minorHAnsi"/>
          <w:sz w:val="24"/>
        </w:rPr>
        <w:t xml:space="preserve">. </w:t>
      </w:r>
    </w:p>
    <w:p w:rsidR="00097EC3" w:rsidRPr="009D2290" w:rsidRDefault="00097EC3" w:rsidP="009D2290">
      <w:pPr>
        <w:jc w:val="both"/>
        <w:rPr>
          <w:rFonts w:asciiTheme="minorHAnsi" w:hAnsiTheme="minorHAnsi" w:cstheme="minorHAnsi"/>
          <w:i/>
          <w:sz w:val="24"/>
        </w:rPr>
      </w:pPr>
      <w:r>
        <w:rPr>
          <w:noProof/>
          <w:lang w:eastAsia="en-GB"/>
        </w:rPr>
        <w:drawing>
          <wp:anchor distT="0" distB="0" distL="114300" distR="114300" simplePos="0" relativeHeight="251662336" behindDoc="1" locked="0" layoutInCell="1" allowOverlap="1" wp14:anchorId="75DD42D2" wp14:editId="44597869">
            <wp:simplePos x="0" y="0"/>
            <wp:positionH relativeFrom="column">
              <wp:posOffset>685800</wp:posOffset>
            </wp:positionH>
            <wp:positionV relativeFrom="paragraph">
              <wp:posOffset>93980</wp:posOffset>
            </wp:positionV>
            <wp:extent cx="5174615" cy="2421255"/>
            <wp:effectExtent l="0" t="0" r="0" b="0"/>
            <wp:wrapThrough wrapText="bothSides">
              <wp:wrapPolygon edited="0">
                <wp:start x="3022" y="850"/>
                <wp:lineTo x="2704" y="1360"/>
                <wp:lineTo x="3022" y="3399"/>
                <wp:lineTo x="1034" y="4079"/>
                <wp:lineTo x="795" y="5268"/>
                <wp:lineTo x="795" y="17334"/>
                <wp:lineTo x="10815" y="17504"/>
                <wp:lineTo x="4055" y="19034"/>
                <wp:lineTo x="3976" y="19714"/>
                <wp:lineTo x="5964" y="20054"/>
                <wp:lineTo x="6600" y="20054"/>
                <wp:lineTo x="18687" y="19714"/>
                <wp:lineTo x="18766" y="18694"/>
                <wp:lineTo x="10815" y="17504"/>
                <wp:lineTo x="18846" y="17504"/>
                <wp:lineTo x="18687" y="15975"/>
                <wp:lineTo x="1511" y="14785"/>
                <wp:lineTo x="2386" y="14785"/>
                <wp:lineTo x="2942" y="13596"/>
                <wp:lineTo x="3022" y="10027"/>
                <wp:lineTo x="2704" y="9517"/>
                <wp:lineTo x="2465" y="9347"/>
                <wp:lineTo x="2942" y="8327"/>
                <wp:lineTo x="2863" y="6628"/>
                <wp:lineTo x="13677" y="4079"/>
                <wp:lineTo x="13677" y="3909"/>
                <wp:lineTo x="18687" y="2549"/>
                <wp:lineTo x="18687" y="1190"/>
                <wp:lineTo x="14393" y="850"/>
                <wp:lineTo x="3022" y="85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097EC3" w:rsidRDefault="00097EC3" w:rsidP="00BA18C8">
      <w:pPr>
        <w:pStyle w:val="ListParagraph"/>
        <w:jc w:val="both"/>
        <w:rPr>
          <w:rFonts w:asciiTheme="minorHAnsi" w:hAnsiTheme="minorHAnsi" w:cstheme="minorHAnsi"/>
          <w:i/>
          <w:sz w:val="24"/>
        </w:rPr>
      </w:pPr>
    </w:p>
    <w:p w:rsidR="00BA18C8" w:rsidRDefault="00BA18C8" w:rsidP="00BA18C8">
      <w:pPr>
        <w:pStyle w:val="ListParagraph"/>
        <w:jc w:val="both"/>
        <w:rPr>
          <w:rFonts w:asciiTheme="minorHAnsi" w:hAnsiTheme="minorHAnsi" w:cstheme="minorHAnsi"/>
          <w:i/>
          <w:sz w:val="24"/>
        </w:rPr>
      </w:pPr>
    </w:p>
    <w:p w:rsidR="009D2290" w:rsidRDefault="009D2290" w:rsidP="009D2290">
      <w:pPr>
        <w:pStyle w:val="ListParagraph"/>
        <w:jc w:val="both"/>
        <w:rPr>
          <w:rFonts w:ascii="Calibri" w:hAnsi="Calibri" w:cs="Calibri"/>
          <w:sz w:val="24"/>
          <w:szCs w:val="24"/>
        </w:rPr>
      </w:pPr>
    </w:p>
    <w:p w:rsidR="009D2290" w:rsidRDefault="009D2290" w:rsidP="009D2290">
      <w:pPr>
        <w:pStyle w:val="ListParagraph"/>
        <w:jc w:val="both"/>
        <w:rPr>
          <w:rFonts w:ascii="Calibri" w:hAnsi="Calibri" w:cs="Calibri"/>
          <w:sz w:val="24"/>
          <w:szCs w:val="24"/>
        </w:rPr>
      </w:pPr>
    </w:p>
    <w:p w:rsidR="00BA18C8" w:rsidRPr="00BA18C8" w:rsidRDefault="00F400A5" w:rsidP="00BA18C8">
      <w:pPr>
        <w:pStyle w:val="ListParagraph"/>
        <w:numPr>
          <w:ilvl w:val="0"/>
          <w:numId w:val="17"/>
        </w:numPr>
        <w:jc w:val="both"/>
        <w:rPr>
          <w:rFonts w:ascii="Calibri" w:hAnsi="Calibri" w:cs="Calibri"/>
          <w:sz w:val="24"/>
          <w:szCs w:val="24"/>
        </w:rPr>
      </w:pPr>
      <w:r>
        <w:rPr>
          <w:rFonts w:ascii="Calibri" w:hAnsi="Calibri" w:cs="Calibri"/>
          <w:sz w:val="24"/>
          <w:szCs w:val="24"/>
        </w:rPr>
        <w:t>Over recent years a</w:t>
      </w:r>
      <w:r w:rsidR="00BA18C8" w:rsidRPr="00BA18C8">
        <w:rPr>
          <w:rFonts w:ascii="Calibri" w:hAnsi="Calibri" w:cs="Calibri"/>
          <w:sz w:val="24"/>
          <w:szCs w:val="24"/>
        </w:rPr>
        <w:t>dult (18+) current smoker prevalence for the South East Region has seen a steady decline from 19.4% in 2010 to 17.2% in 2013 and rates for England (20.8% in 2010 to 18.4% in 2013) show a similar trend. Rates in West Sussex have fluctuated between 2010 (19.6%) and 2013 (17.2%) with an increase in 2012 to 19.1%</w:t>
      </w:r>
      <w:r w:rsidR="00097EC3">
        <w:rPr>
          <w:rFonts w:ascii="Calibri" w:hAnsi="Calibri" w:cs="Calibri"/>
          <w:sz w:val="24"/>
          <w:szCs w:val="24"/>
        </w:rPr>
        <w:t xml:space="preserve"> (figure 2)</w:t>
      </w:r>
      <w:r w:rsidR="00BA18C8" w:rsidRPr="00BA18C8">
        <w:rPr>
          <w:rFonts w:ascii="Calibri" w:hAnsi="Calibri" w:cs="Calibri"/>
          <w:sz w:val="24"/>
          <w:szCs w:val="24"/>
        </w:rPr>
        <w:t xml:space="preserve">. </w:t>
      </w: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r>
        <w:rPr>
          <w:noProof/>
          <w:lang w:eastAsia="en-GB"/>
        </w:rPr>
        <w:drawing>
          <wp:anchor distT="0" distB="0" distL="114300" distR="114300" simplePos="0" relativeHeight="251661312" behindDoc="1" locked="0" layoutInCell="1" allowOverlap="1" wp14:anchorId="7F621412" wp14:editId="70A9026D">
            <wp:simplePos x="0" y="0"/>
            <wp:positionH relativeFrom="column">
              <wp:posOffset>1087755</wp:posOffset>
            </wp:positionH>
            <wp:positionV relativeFrom="paragraph">
              <wp:posOffset>36195</wp:posOffset>
            </wp:positionV>
            <wp:extent cx="4451350" cy="2843530"/>
            <wp:effectExtent l="0" t="0" r="25400" b="13970"/>
            <wp:wrapTight wrapText="bothSides">
              <wp:wrapPolygon edited="0">
                <wp:start x="0" y="0"/>
                <wp:lineTo x="0" y="21561"/>
                <wp:lineTo x="21631" y="21561"/>
                <wp:lineTo x="21631"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Default="009D2290" w:rsidP="009D2290">
      <w:pPr>
        <w:jc w:val="both"/>
        <w:rPr>
          <w:rFonts w:asciiTheme="minorHAnsi" w:hAnsiTheme="minorHAnsi" w:cstheme="minorHAnsi"/>
          <w:sz w:val="24"/>
        </w:rPr>
      </w:pPr>
    </w:p>
    <w:p w:rsidR="009D2290" w:rsidRPr="009D2290" w:rsidRDefault="009D2290" w:rsidP="009D2290">
      <w:pPr>
        <w:jc w:val="both"/>
        <w:rPr>
          <w:rFonts w:asciiTheme="minorHAnsi" w:hAnsiTheme="minorHAnsi" w:cstheme="minorHAnsi"/>
          <w:sz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FE71E9" w:rsidP="00BA18C8">
      <w:pPr>
        <w:pStyle w:val="ListParagraph"/>
        <w:rPr>
          <w:rFonts w:ascii="Calibri" w:hAnsi="Calibri" w:cs="Calibri"/>
          <w:sz w:val="24"/>
          <w:szCs w:val="24"/>
        </w:rPr>
      </w:pPr>
    </w:p>
    <w:p w:rsidR="00FE71E9" w:rsidRDefault="001B19B2" w:rsidP="00F300DB">
      <w:pPr>
        <w:pStyle w:val="ListParagraph"/>
        <w:numPr>
          <w:ilvl w:val="0"/>
          <w:numId w:val="17"/>
        </w:numPr>
        <w:jc w:val="both"/>
        <w:rPr>
          <w:rFonts w:ascii="Calibri" w:hAnsi="Calibri" w:cs="Calibri"/>
          <w:sz w:val="24"/>
          <w:szCs w:val="24"/>
        </w:rPr>
      </w:pPr>
      <w:r>
        <w:rPr>
          <w:rFonts w:ascii="Calibri" w:hAnsi="Calibri" w:cs="Calibri"/>
          <w:sz w:val="24"/>
          <w:szCs w:val="24"/>
        </w:rPr>
        <w:lastRenderedPageBreak/>
        <w:t xml:space="preserve">Prevalence rates </w:t>
      </w:r>
      <w:r w:rsidR="000F7BBC">
        <w:rPr>
          <w:rFonts w:ascii="Calibri" w:hAnsi="Calibri" w:cs="Calibri"/>
          <w:sz w:val="24"/>
          <w:szCs w:val="24"/>
        </w:rPr>
        <w:t xml:space="preserve">of current smokers </w:t>
      </w:r>
      <w:r>
        <w:rPr>
          <w:rFonts w:ascii="Calibri" w:hAnsi="Calibri" w:cs="Calibri"/>
          <w:sz w:val="24"/>
          <w:szCs w:val="24"/>
        </w:rPr>
        <w:t>within local authorities of West Sussex are given in figure 3. The large confidence intervals, indicative of small sample sizes (table 1) at small area level indicate that the prevalence rates should be interpreted with caution.</w:t>
      </w:r>
    </w:p>
    <w:p w:rsidR="00BA18C8" w:rsidRPr="00BA18C8" w:rsidRDefault="001B19B2" w:rsidP="00BA18C8">
      <w:pPr>
        <w:pStyle w:val="ListParagraph"/>
        <w:rPr>
          <w:rFonts w:asciiTheme="minorHAnsi" w:hAnsiTheme="minorHAnsi" w:cstheme="minorHAnsi"/>
          <w:sz w:val="24"/>
        </w:rPr>
      </w:pPr>
      <w:r>
        <w:rPr>
          <w:noProof/>
          <w:lang w:eastAsia="en-GB"/>
        </w:rPr>
        <w:drawing>
          <wp:anchor distT="0" distB="0" distL="114300" distR="114300" simplePos="0" relativeHeight="251663360" behindDoc="1" locked="0" layoutInCell="1" allowOverlap="1" wp14:anchorId="17E22979" wp14:editId="5A5DD7E1">
            <wp:simplePos x="0" y="0"/>
            <wp:positionH relativeFrom="column">
              <wp:posOffset>-77470</wp:posOffset>
            </wp:positionH>
            <wp:positionV relativeFrom="paragraph">
              <wp:posOffset>107315</wp:posOffset>
            </wp:positionV>
            <wp:extent cx="6460490" cy="3797935"/>
            <wp:effectExtent l="0" t="0" r="16510" b="12065"/>
            <wp:wrapThrough wrapText="bothSides">
              <wp:wrapPolygon edited="0">
                <wp:start x="0" y="0"/>
                <wp:lineTo x="0" y="21560"/>
                <wp:lineTo x="21592" y="21560"/>
                <wp:lineTo x="21592" y="0"/>
                <wp:lineTo x="0" y="0"/>
              </wp:wrapPolygon>
            </wp:wrapThrough>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bl>
      <w:tblPr>
        <w:tblStyle w:val="TableGrid"/>
        <w:tblW w:w="5000" w:type="pct"/>
        <w:tblLook w:val="04A0" w:firstRow="1" w:lastRow="0" w:firstColumn="1" w:lastColumn="0" w:noHBand="0" w:noVBand="1"/>
      </w:tblPr>
      <w:tblGrid>
        <w:gridCol w:w="781"/>
        <w:gridCol w:w="768"/>
        <w:gridCol w:w="768"/>
        <w:gridCol w:w="1352"/>
        <w:gridCol w:w="1089"/>
        <w:gridCol w:w="1198"/>
        <w:gridCol w:w="1409"/>
        <w:gridCol w:w="1239"/>
        <w:gridCol w:w="1533"/>
      </w:tblGrid>
      <w:tr w:rsidR="001B19B2" w:rsidRPr="000D2417" w:rsidTr="00DC1B48">
        <w:trPr>
          <w:trHeight w:val="315"/>
        </w:trPr>
        <w:tc>
          <w:tcPr>
            <w:tcW w:w="5000" w:type="pct"/>
            <w:gridSpan w:val="9"/>
            <w:tcBorders>
              <w:top w:val="nil"/>
              <w:left w:val="nil"/>
              <w:right w:val="nil"/>
            </w:tcBorders>
            <w:noWrap/>
            <w:hideMark/>
          </w:tcPr>
          <w:p w:rsidR="008B0228" w:rsidRPr="000D2417" w:rsidRDefault="008B0228">
            <w:pPr>
              <w:rPr>
                <w:rFonts w:ascii="Calibri" w:hAnsi="Calibri" w:cs="Calibri"/>
                <w:b/>
                <w:color w:val="000000"/>
                <w:lang w:eastAsia="en-US"/>
              </w:rPr>
            </w:pPr>
          </w:p>
          <w:p w:rsidR="008B0228" w:rsidRPr="000D2417" w:rsidRDefault="008B0228">
            <w:pPr>
              <w:rPr>
                <w:rFonts w:ascii="Calibri" w:hAnsi="Calibri" w:cs="Calibri"/>
                <w:b/>
                <w:color w:val="000000"/>
                <w:lang w:eastAsia="en-US"/>
              </w:rPr>
            </w:pPr>
          </w:p>
          <w:p w:rsidR="001B19B2" w:rsidRPr="000D2417" w:rsidRDefault="001B19B2">
            <w:pPr>
              <w:rPr>
                <w:rFonts w:ascii="Calibri" w:hAnsi="Calibri" w:cs="Calibri"/>
                <w:color w:val="000000"/>
              </w:rPr>
            </w:pPr>
            <w:r w:rsidRPr="000D2417">
              <w:rPr>
                <w:rFonts w:ascii="Calibri" w:hAnsi="Calibri" w:cs="Calibri"/>
                <w:b/>
                <w:color w:val="000000"/>
              </w:rPr>
              <w:t>Table 1</w:t>
            </w:r>
            <w:r w:rsidRPr="000D2417">
              <w:rPr>
                <w:rFonts w:ascii="Calibri" w:hAnsi="Calibri" w:cs="Calibri"/>
                <w:color w:val="000000"/>
              </w:rPr>
              <w:t xml:space="preserve"> </w:t>
            </w:r>
            <w:r w:rsidR="00822E4B" w:rsidRPr="000D2417">
              <w:rPr>
                <w:rFonts w:ascii="Calibri" w:hAnsi="Calibri" w:cs="Calibri"/>
                <w:color w:val="000000"/>
              </w:rPr>
              <w:t>Integrated Household Survey, t</w:t>
            </w:r>
            <w:r w:rsidRPr="000D2417">
              <w:rPr>
                <w:rFonts w:ascii="Calibri" w:hAnsi="Calibri" w:cs="Calibri"/>
                <w:color w:val="000000"/>
              </w:rPr>
              <w:t>otal number of responses in each year by locality.</w:t>
            </w:r>
          </w:p>
        </w:tc>
      </w:tr>
      <w:tr w:rsidR="00DC1B48" w:rsidRPr="000D2417" w:rsidTr="00DC1B48">
        <w:trPr>
          <w:trHeight w:val="300"/>
        </w:trPr>
        <w:tc>
          <w:tcPr>
            <w:tcW w:w="38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 </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Adur</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Arun</w:t>
            </w:r>
          </w:p>
        </w:tc>
        <w:tc>
          <w:tcPr>
            <w:tcW w:w="66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Chichester</w:t>
            </w:r>
          </w:p>
        </w:tc>
        <w:tc>
          <w:tcPr>
            <w:tcW w:w="53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Crawley</w:t>
            </w:r>
          </w:p>
        </w:tc>
        <w:tc>
          <w:tcPr>
            <w:tcW w:w="59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Horsham</w:t>
            </w:r>
          </w:p>
        </w:tc>
        <w:tc>
          <w:tcPr>
            <w:tcW w:w="69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Mid Sussex</w:t>
            </w:r>
          </w:p>
        </w:tc>
        <w:tc>
          <w:tcPr>
            <w:tcW w:w="61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Worthing</w:t>
            </w:r>
          </w:p>
        </w:tc>
        <w:tc>
          <w:tcPr>
            <w:tcW w:w="756"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West Sussex</w:t>
            </w:r>
          </w:p>
        </w:tc>
      </w:tr>
      <w:tr w:rsidR="00DC1B48" w:rsidRPr="000D2417" w:rsidTr="00DC1B48">
        <w:trPr>
          <w:trHeight w:val="300"/>
        </w:trPr>
        <w:tc>
          <w:tcPr>
            <w:tcW w:w="38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2011</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140</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373</w:t>
            </w:r>
          </w:p>
        </w:tc>
        <w:tc>
          <w:tcPr>
            <w:tcW w:w="66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327</w:t>
            </w:r>
          </w:p>
        </w:tc>
        <w:tc>
          <w:tcPr>
            <w:tcW w:w="537" w:type="pct"/>
            <w:noWrap/>
            <w:hideMark/>
          </w:tcPr>
          <w:p w:rsidR="00DC1B48" w:rsidRPr="000D2417" w:rsidRDefault="00DC1B48" w:rsidP="00DC1B48">
            <w:pPr>
              <w:rPr>
                <w:rFonts w:ascii="Calibri" w:hAnsi="Calibri" w:cs="Calibri"/>
                <w:color w:val="000000"/>
              </w:rPr>
            </w:pPr>
            <w:r w:rsidRPr="000D2417">
              <w:rPr>
                <w:rFonts w:ascii="Calibri" w:hAnsi="Calibri" w:cs="Calibri"/>
                <w:color w:val="000000"/>
              </w:rPr>
              <w:t>222</w:t>
            </w:r>
          </w:p>
        </w:tc>
        <w:tc>
          <w:tcPr>
            <w:tcW w:w="591" w:type="pct"/>
            <w:noWrap/>
            <w:hideMark/>
          </w:tcPr>
          <w:p w:rsidR="00DC1B48" w:rsidRPr="000D2417" w:rsidRDefault="00DC1B48" w:rsidP="00DC1B48">
            <w:pPr>
              <w:rPr>
                <w:rFonts w:ascii="Calibri" w:hAnsi="Calibri" w:cs="Calibri"/>
                <w:color w:val="000000"/>
              </w:rPr>
            </w:pPr>
            <w:r w:rsidRPr="000D2417">
              <w:rPr>
                <w:rFonts w:ascii="Calibri" w:hAnsi="Calibri" w:cs="Calibri"/>
                <w:color w:val="000000"/>
              </w:rPr>
              <w:t>291</w:t>
            </w:r>
          </w:p>
        </w:tc>
        <w:tc>
          <w:tcPr>
            <w:tcW w:w="695" w:type="pct"/>
            <w:noWrap/>
            <w:hideMark/>
          </w:tcPr>
          <w:p w:rsidR="00DC1B48" w:rsidRPr="000D2417" w:rsidRDefault="00DC1B48" w:rsidP="00DC1B48">
            <w:pPr>
              <w:rPr>
                <w:rFonts w:ascii="Calibri" w:hAnsi="Calibri" w:cs="Calibri"/>
                <w:color w:val="000000"/>
              </w:rPr>
            </w:pPr>
            <w:r w:rsidRPr="000D2417">
              <w:rPr>
                <w:rFonts w:ascii="Calibri" w:hAnsi="Calibri" w:cs="Calibri"/>
                <w:color w:val="000000"/>
              </w:rPr>
              <w:t>370</w:t>
            </w:r>
          </w:p>
        </w:tc>
        <w:tc>
          <w:tcPr>
            <w:tcW w:w="611" w:type="pct"/>
            <w:noWrap/>
            <w:hideMark/>
          </w:tcPr>
          <w:p w:rsidR="00DC1B48" w:rsidRPr="000D2417" w:rsidRDefault="00DC1B48" w:rsidP="00DC1B48">
            <w:pPr>
              <w:rPr>
                <w:rFonts w:ascii="Calibri" w:hAnsi="Calibri" w:cs="Calibri"/>
                <w:color w:val="000000"/>
              </w:rPr>
            </w:pPr>
            <w:r w:rsidRPr="000D2417">
              <w:rPr>
                <w:rFonts w:ascii="Calibri" w:hAnsi="Calibri" w:cs="Calibri"/>
                <w:color w:val="000000"/>
              </w:rPr>
              <w:t>263</w:t>
            </w:r>
          </w:p>
        </w:tc>
        <w:tc>
          <w:tcPr>
            <w:tcW w:w="756" w:type="pct"/>
            <w:noWrap/>
            <w:hideMark/>
          </w:tcPr>
          <w:p w:rsidR="00DC1B48" w:rsidRPr="000D2417" w:rsidRDefault="00DC1B48" w:rsidP="00DC1B48">
            <w:pPr>
              <w:rPr>
                <w:rFonts w:ascii="Calibri" w:hAnsi="Calibri" w:cs="Calibri"/>
                <w:color w:val="000000"/>
              </w:rPr>
            </w:pPr>
            <w:r w:rsidRPr="000D2417">
              <w:rPr>
                <w:rFonts w:ascii="Calibri" w:hAnsi="Calibri" w:cs="Calibri"/>
                <w:color w:val="000000"/>
              </w:rPr>
              <w:t>1,986</w:t>
            </w:r>
          </w:p>
        </w:tc>
      </w:tr>
      <w:tr w:rsidR="00DC1B48" w:rsidRPr="000D2417" w:rsidTr="00DC1B48">
        <w:trPr>
          <w:trHeight w:val="300"/>
        </w:trPr>
        <w:tc>
          <w:tcPr>
            <w:tcW w:w="38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2012</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94</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313</w:t>
            </w:r>
          </w:p>
        </w:tc>
        <w:tc>
          <w:tcPr>
            <w:tcW w:w="66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247</w:t>
            </w:r>
          </w:p>
        </w:tc>
        <w:tc>
          <w:tcPr>
            <w:tcW w:w="53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266</w:t>
            </w:r>
          </w:p>
        </w:tc>
        <w:tc>
          <w:tcPr>
            <w:tcW w:w="59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302</w:t>
            </w:r>
          </w:p>
        </w:tc>
        <w:tc>
          <w:tcPr>
            <w:tcW w:w="69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304</w:t>
            </w:r>
          </w:p>
        </w:tc>
        <w:tc>
          <w:tcPr>
            <w:tcW w:w="61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205</w:t>
            </w:r>
          </w:p>
        </w:tc>
        <w:tc>
          <w:tcPr>
            <w:tcW w:w="756"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1,731</w:t>
            </w:r>
          </w:p>
        </w:tc>
      </w:tr>
      <w:tr w:rsidR="00DC1B48" w:rsidRPr="000D2417" w:rsidTr="00DC1B48">
        <w:trPr>
          <w:trHeight w:val="315"/>
        </w:trPr>
        <w:tc>
          <w:tcPr>
            <w:tcW w:w="38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2013</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96</w:t>
            </w:r>
          </w:p>
        </w:tc>
        <w:tc>
          <w:tcPr>
            <w:tcW w:w="379"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309</w:t>
            </w:r>
          </w:p>
        </w:tc>
        <w:tc>
          <w:tcPr>
            <w:tcW w:w="66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259</w:t>
            </w:r>
          </w:p>
        </w:tc>
        <w:tc>
          <w:tcPr>
            <w:tcW w:w="537"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214</w:t>
            </w:r>
          </w:p>
        </w:tc>
        <w:tc>
          <w:tcPr>
            <w:tcW w:w="59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308</w:t>
            </w:r>
          </w:p>
        </w:tc>
        <w:tc>
          <w:tcPr>
            <w:tcW w:w="695"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274</w:t>
            </w:r>
          </w:p>
        </w:tc>
        <w:tc>
          <w:tcPr>
            <w:tcW w:w="611"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232</w:t>
            </w:r>
          </w:p>
        </w:tc>
        <w:tc>
          <w:tcPr>
            <w:tcW w:w="756" w:type="pct"/>
            <w:noWrap/>
            <w:hideMark/>
          </w:tcPr>
          <w:p w:rsidR="00DC1B48" w:rsidRPr="000D2417" w:rsidRDefault="00DC1B48" w:rsidP="001B19B2">
            <w:pPr>
              <w:rPr>
                <w:rFonts w:ascii="Calibri" w:hAnsi="Calibri" w:cs="Calibri"/>
                <w:color w:val="000000"/>
              </w:rPr>
            </w:pPr>
            <w:r w:rsidRPr="000D2417">
              <w:rPr>
                <w:rFonts w:ascii="Calibri" w:hAnsi="Calibri" w:cs="Calibri"/>
                <w:color w:val="000000"/>
              </w:rPr>
              <w:t>1,692</w:t>
            </w:r>
          </w:p>
        </w:tc>
      </w:tr>
    </w:tbl>
    <w:p w:rsidR="001B19B2" w:rsidRPr="00BA18C8" w:rsidRDefault="001B19B2" w:rsidP="00BA18C8">
      <w:pPr>
        <w:pStyle w:val="ListParagraph"/>
        <w:jc w:val="both"/>
        <w:rPr>
          <w:rFonts w:ascii="Calibri" w:hAnsi="Calibri" w:cs="Calibri"/>
          <w:sz w:val="24"/>
          <w:szCs w:val="24"/>
        </w:rPr>
      </w:pPr>
    </w:p>
    <w:p w:rsidR="00092A57" w:rsidRDefault="00092A57">
      <w:pPr>
        <w:rPr>
          <w:rFonts w:asciiTheme="minorHAnsi" w:hAnsiTheme="minorHAnsi" w:cstheme="minorHAnsi"/>
          <w:sz w:val="24"/>
        </w:rPr>
      </w:pPr>
    </w:p>
    <w:p w:rsidR="00FE71E9" w:rsidRDefault="00FE71E9">
      <w:pPr>
        <w:rPr>
          <w:rFonts w:asciiTheme="minorHAnsi" w:hAnsiTheme="minorHAnsi" w:cstheme="minorHAnsi"/>
          <w:sz w:val="24"/>
        </w:rPr>
      </w:pPr>
    </w:p>
    <w:p w:rsidR="00BA18C8" w:rsidRPr="009B4396" w:rsidRDefault="00822E4B" w:rsidP="00BA18C8">
      <w:pPr>
        <w:pStyle w:val="ListParagraph"/>
        <w:numPr>
          <w:ilvl w:val="0"/>
          <w:numId w:val="17"/>
        </w:numPr>
        <w:jc w:val="both"/>
        <w:rPr>
          <w:rFonts w:asciiTheme="minorHAnsi" w:hAnsiTheme="minorHAnsi" w:cstheme="minorHAnsi"/>
          <w:sz w:val="24"/>
        </w:rPr>
      </w:pPr>
      <w:r>
        <w:rPr>
          <w:rFonts w:asciiTheme="minorHAnsi" w:hAnsiTheme="minorHAnsi" w:cstheme="minorHAnsi"/>
          <w:sz w:val="24"/>
        </w:rPr>
        <w:t>The prevalence of c</w:t>
      </w:r>
      <w:r w:rsidR="00BA18C8" w:rsidRPr="009B4396">
        <w:rPr>
          <w:rFonts w:asciiTheme="minorHAnsi" w:hAnsiTheme="minorHAnsi" w:cstheme="minorHAnsi"/>
          <w:sz w:val="24"/>
        </w:rPr>
        <w:t xml:space="preserve">urrent smoking for adults in Routine and Manual occupations </w:t>
      </w:r>
      <w:r w:rsidR="001B3554">
        <w:rPr>
          <w:rFonts w:asciiTheme="minorHAnsi" w:hAnsiTheme="minorHAnsi" w:cstheme="minorHAnsi"/>
          <w:sz w:val="24"/>
        </w:rPr>
        <w:t xml:space="preserve">(figure 4) </w:t>
      </w:r>
      <w:r w:rsidR="00BA18C8" w:rsidRPr="009B4396">
        <w:rPr>
          <w:rFonts w:asciiTheme="minorHAnsi" w:hAnsiTheme="minorHAnsi" w:cstheme="minorHAnsi"/>
          <w:sz w:val="24"/>
        </w:rPr>
        <w:t xml:space="preserve">also fluctuates </w:t>
      </w:r>
      <w:r w:rsidR="009B4396" w:rsidRPr="009B4396">
        <w:rPr>
          <w:rFonts w:asciiTheme="minorHAnsi" w:hAnsiTheme="minorHAnsi" w:cstheme="minorHAnsi"/>
          <w:sz w:val="24"/>
        </w:rPr>
        <w:t xml:space="preserve">within the </w:t>
      </w:r>
      <w:r w:rsidR="00BA18C8" w:rsidRPr="009B4396">
        <w:rPr>
          <w:rFonts w:asciiTheme="minorHAnsi" w:hAnsiTheme="minorHAnsi" w:cstheme="minorHAnsi"/>
          <w:sz w:val="24"/>
        </w:rPr>
        <w:t>Districts and Boroughs of West Sussex</w:t>
      </w:r>
      <w:r w:rsidR="001B3554">
        <w:rPr>
          <w:rFonts w:asciiTheme="minorHAnsi" w:hAnsiTheme="minorHAnsi" w:cstheme="minorHAnsi"/>
          <w:sz w:val="24"/>
        </w:rPr>
        <w:t>, although the confidence intervals indicate that the differences may be small or non-existent</w:t>
      </w:r>
      <w:r w:rsidR="00BA18C8" w:rsidRPr="009B4396">
        <w:rPr>
          <w:rFonts w:asciiTheme="minorHAnsi" w:hAnsiTheme="minorHAnsi" w:cstheme="minorHAnsi"/>
          <w:sz w:val="24"/>
        </w:rPr>
        <w:t>.</w:t>
      </w:r>
      <w:r w:rsidR="009B4396">
        <w:rPr>
          <w:rFonts w:asciiTheme="minorHAnsi" w:hAnsiTheme="minorHAnsi" w:cstheme="minorHAnsi"/>
          <w:sz w:val="24"/>
        </w:rPr>
        <w:t xml:space="preserve"> </w:t>
      </w:r>
    </w:p>
    <w:p w:rsidR="00BA18C8" w:rsidRPr="00BA18C8" w:rsidRDefault="00BA18C8" w:rsidP="009B4396">
      <w:pPr>
        <w:pStyle w:val="ListParagraph"/>
        <w:jc w:val="both"/>
        <w:rPr>
          <w:rFonts w:asciiTheme="minorHAnsi" w:hAnsiTheme="minorHAnsi" w:cstheme="minorHAnsi"/>
          <w:sz w:val="24"/>
        </w:rPr>
      </w:pPr>
    </w:p>
    <w:p w:rsidR="00DC6A32" w:rsidRDefault="00DC6A32" w:rsidP="004A00EB">
      <w:pPr>
        <w:jc w:val="both"/>
        <w:rPr>
          <w:rFonts w:ascii="Calibri" w:hAnsi="Calibri" w:cs="Calibri"/>
          <w:sz w:val="24"/>
          <w:szCs w:val="24"/>
        </w:rPr>
      </w:pPr>
    </w:p>
    <w:p w:rsidR="005D4C4A" w:rsidRDefault="005D4C4A" w:rsidP="004A00EB">
      <w:pPr>
        <w:jc w:val="both"/>
        <w:rPr>
          <w:rFonts w:ascii="Calibri" w:hAnsi="Calibri" w:cs="Calibri"/>
          <w:sz w:val="24"/>
          <w:szCs w:val="24"/>
        </w:rPr>
      </w:pPr>
      <w:r>
        <w:rPr>
          <w:noProof/>
          <w:lang w:eastAsia="en-GB"/>
        </w:rPr>
        <w:lastRenderedPageBreak/>
        <w:drawing>
          <wp:inline distT="0" distB="0" distL="0" distR="0" wp14:anchorId="6B455C77" wp14:editId="5EF9269B">
            <wp:extent cx="5948624" cy="3406391"/>
            <wp:effectExtent l="0" t="0" r="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C6A32" w:rsidRPr="006368FC" w:rsidRDefault="000A2BB4" w:rsidP="006368FC">
      <w:pPr>
        <w:ind w:firstLine="720"/>
        <w:jc w:val="both"/>
        <w:rPr>
          <w:rFonts w:ascii="Calibri" w:hAnsi="Calibri" w:cs="Calibri"/>
          <w:sz w:val="20"/>
          <w:szCs w:val="24"/>
        </w:rPr>
      </w:pPr>
      <w:r w:rsidRPr="006368FC">
        <w:rPr>
          <w:rFonts w:ascii="Calibri" w:hAnsi="Calibri" w:cs="Calibri"/>
          <w:b/>
          <w:sz w:val="20"/>
          <w:szCs w:val="24"/>
        </w:rPr>
        <w:t>Note</w:t>
      </w:r>
      <w:r w:rsidRPr="006368FC">
        <w:rPr>
          <w:rFonts w:ascii="Calibri" w:hAnsi="Calibri" w:cs="Calibri"/>
          <w:sz w:val="20"/>
          <w:szCs w:val="24"/>
        </w:rPr>
        <w:t>: bars for each locality</w:t>
      </w:r>
      <w:r w:rsidR="006368FC">
        <w:rPr>
          <w:rFonts w:ascii="Calibri" w:hAnsi="Calibri" w:cs="Calibri"/>
          <w:sz w:val="20"/>
          <w:szCs w:val="24"/>
        </w:rPr>
        <w:t xml:space="preserve"> in figure 4</w:t>
      </w:r>
      <w:r w:rsidRPr="006368FC">
        <w:rPr>
          <w:rFonts w:ascii="Calibri" w:hAnsi="Calibri" w:cs="Calibri"/>
          <w:sz w:val="20"/>
          <w:szCs w:val="24"/>
        </w:rPr>
        <w:t xml:space="preserve"> represent the years</w:t>
      </w:r>
      <w:r w:rsidR="006368FC" w:rsidRPr="006368FC">
        <w:rPr>
          <w:rFonts w:ascii="Calibri" w:hAnsi="Calibri" w:cs="Calibri"/>
          <w:sz w:val="20"/>
          <w:szCs w:val="24"/>
        </w:rPr>
        <w:t xml:space="preserve"> 2011, 2012, and 2013 (from left to right)</w:t>
      </w:r>
    </w:p>
    <w:p w:rsidR="00DC6A32" w:rsidRDefault="00DC6A32" w:rsidP="004A00EB">
      <w:pPr>
        <w:jc w:val="both"/>
        <w:rPr>
          <w:rFonts w:ascii="Calibri" w:hAnsi="Calibri" w:cs="Calibri"/>
          <w:sz w:val="24"/>
          <w:szCs w:val="24"/>
        </w:rPr>
      </w:pPr>
    </w:p>
    <w:p w:rsidR="00DC6A32" w:rsidRDefault="00DC6A32" w:rsidP="004A00EB">
      <w:pPr>
        <w:jc w:val="both"/>
        <w:rPr>
          <w:rFonts w:ascii="Calibri" w:hAnsi="Calibri" w:cs="Calibri"/>
          <w:sz w:val="24"/>
          <w:szCs w:val="24"/>
        </w:rPr>
      </w:pPr>
    </w:p>
    <w:p w:rsidR="000D2417" w:rsidRPr="00F300DB" w:rsidRDefault="000D2417" w:rsidP="00F300DB">
      <w:pPr>
        <w:pStyle w:val="ListParagraph"/>
        <w:numPr>
          <w:ilvl w:val="0"/>
          <w:numId w:val="17"/>
        </w:numPr>
        <w:jc w:val="both"/>
        <w:rPr>
          <w:rFonts w:asciiTheme="minorHAnsi" w:hAnsiTheme="minorHAnsi" w:cstheme="minorHAnsi"/>
          <w:sz w:val="24"/>
        </w:rPr>
      </w:pPr>
      <w:r w:rsidRPr="00F300DB">
        <w:rPr>
          <w:rFonts w:asciiTheme="minorHAnsi" w:hAnsiTheme="minorHAnsi" w:cstheme="minorHAnsi"/>
          <w:sz w:val="24"/>
        </w:rPr>
        <w:t xml:space="preserve">In January 2015, synthetic estimates were produced to model smoking among young people at a local area using data from the Understanding Society survey (pooled data for years 2009-2012). These were produced because prevalence statistics are not routinely available at small geographical area levels. </w:t>
      </w:r>
    </w:p>
    <w:p w:rsidR="000D2417" w:rsidRPr="000D2417" w:rsidRDefault="000D2417" w:rsidP="000D2417">
      <w:pPr>
        <w:rPr>
          <w:rFonts w:asciiTheme="minorHAnsi" w:hAnsiTheme="minorHAnsi" w:cstheme="minorHAnsi"/>
          <w:sz w:val="24"/>
        </w:rPr>
      </w:pPr>
    </w:p>
    <w:p w:rsidR="000D2417" w:rsidRPr="00F300DB" w:rsidRDefault="000D2417" w:rsidP="00F300DB">
      <w:pPr>
        <w:pStyle w:val="ListParagraph"/>
        <w:numPr>
          <w:ilvl w:val="0"/>
          <w:numId w:val="17"/>
        </w:numPr>
        <w:jc w:val="both"/>
        <w:rPr>
          <w:rFonts w:asciiTheme="minorHAnsi" w:hAnsiTheme="minorHAnsi" w:cstheme="minorHAnsi"/>
          <w:sz w:val="24"/>
        </w:rPr>
      </w:pPr>
      <w:r w:rsidRPr="00F300DB">
        <w:rPr>
          <w:rFonts w:asciiTheme="minorHAnsi" w:hAnsiTheme="minorHAnsi" w:cstheme="minorHAnsi"/>
          <w:sz w:val="24"/>
        </w:rPr>
        <w:t>The data presented below relates to estimates for never smokers, not current smokers (including never smokers and those who have tried smoking once or twice only), occasional smokers (occasional smoking is defined as smoking sometimes but not every week) and regular smokers (regular smoking is defined as smoking at least one cigarette every week).</w:t>
      </w:r>
    </w:p>
    <w:p w:rsidR="000D2417" w:rsidRDefault="000D2417" w:rsidP="000D2417">
      <w:pPr>
        <w:rPr>
          <w:rFonts w:asciiTheme="minorHAnsi" w:hAnsiTheme="minorHAnsi" w:cstheme="minorHAnsi"/>
          <w:sz w:val="24"/>
        </w:rPr>
      </w:pPr>
    </w:p>
    <w:tbl>
      <w:tblPr>
        <w:tblW w:w="4500" w:type="pct"/>
        <w:jc w:val="center"/>
        <w:tblInd w:w="1013" w:type="dxa"/>
        <w:tblLook w:val="04A0" w:firstRow="1" w:lastRow="0" w:firstColumn="1" w:lastColumn="0" w:noHBand="0" w:noVBand="1"/>
      </w:tblPr>
      <w:tblGrid>
        <w:gridCol w:w="972"/>
        <w:gridCol w:w="2114"/>
        <w:gridCol w:w="2032"/>
        <w:gridCol w:w="2059"/>
        <w:gridCol w:w="1947"/>
      </w:tblGrid>
      <w:tr w:rsidR="00F300DB" w:rsidRPr="00F300DB" w:rsidTr="004E5819">
        <w:trPr>
          <w:trHeight w:val="300"/>
          <w:jc w:val="center"/>
        </w:trPr>
        <w:tc>
          <w:tcPr>
            <w:tcW w:w="5000" w:type="pct"/>
            <w:gridSpan w:val="5"/>
            <w:tcBorders>
              <w:top w:val="nil"/>
              <w:left w:val="nil"/>
              <w:bottom w:val="nil"/>
              <w:right w:val="nil"/>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b/>
                <w:bCs/>
                <w:color w:val="000000"/>
                <w:lang w:eastAsia="en-GB"/>
              </w:rPr>
              <w:t>Table 2</w:t>
            </w:r>
            <w:r w:rsidRPr="00F300DB">
              <w:rPr>
                <w:rFonts w:ascii="Calibri" w:hAnsi="Calibri" w:cs="Calibri"/>
                <w:color w:val="000000"/>
                <w:lang w:eastAsia="en-GB"/>
              </w:rPr>
              <w:t xml:space="preserve"> Modelled synthetic estimates of smoking status for young people in West Sussex</w:t>
            </w:r>
          </w:p>
        </w:tc>
      </w:tr>
      <w:tr w:rsidR="004E5819" w:rsidRPr="00F300DB" w:rsidTr="004E5819">
        <w:trPr>
          <w:trHeight w:val="300"/>
          <w:jc w:val="center"/>
        </w:trPr>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b/>
                <w:bCs/>
                <w:color w:val="000000"/>
                <w:lang w:eastAsia="en-GB"/>
              </w:rPr>
            </w:pPr>
            <w:r w:rsidRPr="00F300DB">
              <w:rPr>
                <w:rFonts w:ascii="Calibri" w:hAnsi="Calibri" w:cs="Calibri"/>
                <w:b/>
                <w:bCs/>
                <w:color w:val="000000"/>
                <w:lang w:eastAsia="en-GB"/>
              </w:rPr>
              <w:t>Age</w:t>
            </w:r>
          </w:p>
        </w:tc>
        <w:tc>
          <w:tcPr>
            <w:tcW w:w="1162"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b/>
                <w:bCs/>
                <w:color w:val="000000"/>
                <w:lang w:eastAsia="en-GB"/>
              </w:rPr>
            </w:pPr>
            <w:r w:rsidRPr="00F300DB">
              <w:rPr>
                <w:rFonts w:ascii="Calibri" w:hAnsi="Calibri" w:cs="Calibri"/>
                <w:b/>
                <w:bCs/>
                <w:color w:val="000000"/>
                <w:lang w:eastAsia="en-GB"/>
              </w:rPr>
              <w:t>Never</w:t>
            </w:r>
          </w:p>
        </w:tc>
        <w:tc>
          <w:tcPr>
            <w:tcW w:w="1116"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b/>
                <w:bCs/>
                <w:color w:val="000000"/>
                <w:lang w:eastAsia="en-GB"/>
              </w:rPr>
            </w:pPr>
            <w:r w:rsidRPr="00F300DB">
              <w:rPr>
                <w:rFonts w:ascii="Calibri" w:hAnsi="Calibri" w:cs="Calibri"/>
                <w:b/>
                <w:bCs/>
                <w:color w:val="000000"/>
                <w:lang w:eastAsia="en-GB"/>
              </w:rPr>
              <w:t>Not current</w:t>
            </w:r>
          </w:p>
        </w:tc>
        <w:tc>
          <w:tcPr>
            <w:tcW w:w="1132"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b/>
                <w:bCs/>
                <w:color w:val="000000"/>
                <w:lang w:eastAsia="en-GB"/>
              </w:rPr>
            </w:pPr>
            <w:r w:rsidRPr="00F300DB">
              <w:rPr>
                <w:rFonts w:ascii="Calibri" w:hAnsi="Calibri" w:cs="Calibri"/>
                <w:b/>
                <w:bCs/>
                <w:color w:val="000000"/>
                <w:lang w:eastAsia="en-GB"/>
              </w:rPr>
              <w:t>Occasional</w:t>
            </w:r>
          </w:p>
        </w:tc>
        <w:tc>
          <w:tcPr>
            <w:tcW w:w="1069"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b/>
                <w:bCs/>
                <w:color w:val="000000"/>
                <w:lang w:eastAsia="en-GB"/>
              </w:rPr>
            </w:pPr>
            <w:r w:rsidRPr="00F300DB">
              <w:rPr>
                <w:rFonts w:ascii="Calibri" w:hAnsi="Calibri" w:cs="Calibri"/>
                <w:b/>
                <w:bCs/>
                <w:color w:val="000000"/>
                <w:lang w:eastAsia="en-GB"/>
              </w:rPr>
              <w:t>Regular</w:t>
            </w:r>
          </w:p>
        </w:tc>
      </w:tr>
      <w:tr w:rsidR="004E5819" w:rsidRPr="00F300DB" w:rsidTr="004E5819">
        <w:trPr>
          <w:trHeight w:val="300"/>
          <w:jc w:val="center"/>
        </w:trPr>
        <w:tc>
          <w:tcPr>
            <w:tcW w:w="521" w:type="pct"/>
            <w:tcBorders>
              <w:top w:val="nil"/>
              <w:left w:val="single" w:sz="4" w:space="0" w:color="auto"/>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11-15</w:t>
            </w:r>
          </w:p>
        </w:tc>
        <w:tc>
          <w:tcPr>
            <w:tcW w:w="1162"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88.8% (75.9-96.3%)</w:t>
            </w:r>
          </w:p>
        </w:tc>
        <w:tc>
          <w:tcPr>
            <w:tcW w:w="1116"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95.1% (84.3-99.3%)</w:t>
            </w:r>
          </w:p>
        </w:tc>
        <w:tc>
          <w:tcPr>
            <w:tcW w:w="1132"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1.7% (0.3-4.7%)</w:t>
            </w:r>
          </w:p>
        </w:tc>
        <w:tc>
          <w:tcPr>
            <w:tcW w:w="1069"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3.1% (0.7-8.4%)</w:t>
            </w:r>
          </w:p>
        </w:tc>
      </w:tr>
      <w:tr w:rsidR="004E5819" w:rsidRPr="00F300DB" w:rsidTr="004E5819">
        <w:trPr>
          <w:trHeight w:val="300"/>
          <w:jc w:val="center"/>
        </w:trPr>
        <w:tc>
          <w:tcPr>
            <w:tcW w:w="521" w:type="pct"/>
            <w:tcBorders>
              <w:top w:val="nil"/>
              <w:left w:val="single" w:sz="4" w:space="0" w:color="auto"/>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15</w:t>
            </w:r>
          </w:p>
        </w:tc>
        <w:tc>
          <w:tcPr>
            <w:tcW w:w="1162"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76.4% (54.3-92.1%)</w:t>
            </w:r>
          </w:p>
        </w:tc>
        <w:tc>
          <w:tcPr>
            <w:tcW w:w="1116"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86.6% (60.2-97.9%)</w:t>
            </w:r>
          </w:p>
        </w:tc>
        <w:tc>
          <w:tcPr>
            <w:tcW w:w="1132"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4.5% (0.8-13.1%)</w:t>
            </w:r>
          </w:p>
        </w:tc>
        <w:tc>
          <w:tcPr>
            <w:tcW w:w="1069" w:type="pct"/>
            <w:tcBorders>
              <w:top w:val="nil"/>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8.8% (2.1-22.0%)</w:t>
            </w:r>
          </w:p>
        </w:tc>
      </w:tr>
      <w:tr w:rsidR="004E5819" w:rsidRPr="00F300DB" w:rsidTr="004E5819">
        <w:trPr>
          <w:trHeight w:val="300"/>
          <w:jc w:val="center"/>
        </w:trPr>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16-17</w:t>
            </w:r>
          </w:p>
        </w:tc>
        <w:tc>
          <w:tcPr>
            <w:tcW w:w="1162"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76.2% (53.7-91.7%)</w:t>
            </w:r>
          </w:p>
        </w:tc>
        <w:tc>
          <w:tcPr>
            <w:tcW w:w="1116"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78.8% (47.2-95.9%)</w:t>
            </w:r>
          </w:p>
        </w:tc>
        <w:tc>
          <w:tcPr>
            <w:tcW w:w="1132"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6.7% (1.4-18.5%)</w:t>
            </w:r>
          </w:p>
        </w:tc>
        <w:tc>
          <w:tcPr>
            <w:tcW w:w="1069" w:type="pct"/>
            <w:tcBorders>
              <w:top w:val="single" w:sz="4" w:space="0" w:color="auto"/>
              <w:left w:val="nil"/>
              <w:bottom w:val="single" w:sz="4" w:space="0" w:color="auto"/>
              <w:right w:val="single" w:sz="4" w:space="0" w:color="auto"/>
            </w:tcBorders>
            <w:shd w:val="clear" w:color="auto" w:fill="auto"/>
            <w:noWrap/>
            <w:vAlign w:val="bottom"/>
            <w:hideMark/>
          </w:tcPr>
          <w:p w:rsidR="00F300DB" w:rsidRPr="00F300DB" w:rsidRDefault="00F300DB" w:rsidP="00F300DB">
            <w:pPr>
              <w:rPr>
                <w:rFonts w:ascii="Calibri" w:hAnsi="Calibri" w:cs="Calibri"/>
                <w:color w:val="000000"/>
                <w:lang w:eastAsia="en-GB"/>
              </w:rPr>
            </w:pPr>
            <w:r w:rsidRPr="00F300DB">
              <w:rPr>
                <w:rFonts w:ascii="Calibri" w:hAnsi="Calibri" w:cs="Calibri"/>
                <w:color w:val="000000"/>
                <w:lang w:eastAsia="en-GB"/>
              </w:rPr>
              <w:t>14.9% (4.1-32.5%)</w:t>
            </w:r>
          </w:p>
        </w:tc>
      </w:tr>
      <w:tr w:rsidR="004E5819" w:rsidRPr="00F300DB" w:rsidTr="004E5819">
        <w:trPr>
          <w:trHeight w:val="300"/>
          <w:jc w:val="center"/>
        </w:trPr>
        <w:tc>
          <w:tcPr>
            <w:tcW w:w="5000" w:type="pct"/>
            <w:gridSpan w:val="5"/>
            <w:tcBorders>
              <w:top w:val="single" w:sz="4" w:space="0" w:color="auto"/>
            </w:tcBorders>
            <w:shd w:val="clear" w:color="auto" w:fill="auto"/>
            <w:noWrap/>
            <w:vAlign w:val="bottom"/>
          </w:tcPr>
          <w:p w:rsidR="004E5819" w:rsidRPr="004E5819" w:rsidRDefault="004E5819" w:rsidP="00F300DB">
            <w:r w:rsidRPr="0097316E">
              <w:rPr>
                <w:rFonts w:ascii="Calibri" w:hAnsi="Calibri"/>
                <w:b/>
              </w:rPr>
              <w:t xml:space="preserve">Source: </w:t>
            </w:r>
            <w:r w:rsidRPr="0097316E">
              <w:rPr>
                <w:rFonts w:ascii="Calibri" w:hAnsi="Calibri"/>
              </w:rPr>
              <w:t>Department of Geography, University of Portsmouth and Geography and Environment, University of Southampton</w:t>
            </w:r>
            <w:r w:rsidRPr="0097316E">
              <w:t xml:space="preserve"> </w:t>
            </w:r>
          </w:p>
        </w:tc>
      </w:tr>
    </w:tbl>
    <w:p w:rsidR="00F300DB" w:rsidRPr="000D2417" w:rsidRDefault="00F300DB" w:rsidP="000D2417">
      <w:pPr>
        <w:rPr>
          <w:rFonts w:asciiTheme="minorHAnsi" w:hAnsiTheme="minorHAnsi" w:cstheme="minorHAnsi"/>
          <w:sz w:val="24"/>
        </w:rPr>
      </w:pPr>
    </w:p>
    <w:p w:rsidR="000D2417" w:rsidRPr="000D2417" w:rsidRDefault="000D2417" w:rsidP="00F300DB">
      <w:pPr>
        <w:ind w:left="720"/>
        <w:rPr>
          <w:rFonts w:asciiTheme="minorHAnsi" w:hAnsiTheme="minorHAnsi" w:cstheme="minorHAnsi"/>
          <w:sz w:val="24"/>
        </w:rPr>
      </w:pPr>
      <w:r w:rsidRPr="000D2417">
        <w:rPr>
          <w:rFonts w:asciiTheme="minorHAnsi" w:hAnsiTheme="minorHAnsi" w:cstheme="minorHAnsi"/>
          <w:b/>
          <w:sz w:val="24"/>
        </w:rPr>
        <w:t>Note</w:t>
      </w:r>
      <w:r w:rsidRPr="000D2417">
        <w:rPr>
          <w:rFonts w:asciiTheme="minorHAnsi" w:hAnsiTheme="minorHAnsi" w:cstheme="minorHAnsi"/>
          <w:sz w:val="24"/>
        </w:rPr>
        <w:t xml:space="preserve">: these are synthetic estimates developed to investigate the simultaneous influence of individual and area characteristics on smoking outcomes. Results reflect estimated prevalence based on socio-demographic profiles of geographical areas. </w:t>
      </w:r>
      <w:r w:rsidRPr="000D2417">
        <w:rPr>
          <w:rFonts w:asciiTheme="minorHAnsi" w:hAnsiTheme="minorHAnsi" w:cstheme="minorHAnsi"/>
          <w:sz w:val="24"/>
          <w:u w:val="single"/>
        </w:rPr>
        <w:t>They may not reflect actual smoking prevalence</w:t>
      </w:r>
      <w:r w:rsidRPr="000D2417">
        <w:rPr>
          <w:rFonts w:asciiTheme="minorHAnsi" w:hAnsiTheme="minorHAnsi" w:cstheme="minorHAnsi"/>
          <w:sz w:val="24"/>
        </w:rPr>
        <w:t>.</w:t>
      </w:r>
    </w:p>
    <w:p w:rsidR="000D2417" w:rsidRDefault="000D2417" w:rsidP="000D2417">
      <w:pPr>
        <w:jc w:val="both"/>
        <w:rPr>
          <w:rFonts w:ascii="Calibri" w:hAnsi="Calibri" w:cs="Calibri"/>
          <w:sz w:val="24"/>
          <w:szCs w:val="24"/>
        </w:rPr>
      </w:pPr>
    </w:p>
    <w:p w:rsidR="000D2417" w:rsidRDefault="000D2417" w:rsidP="000D2417">
      <w:pPr>
        <w:jc w:val="both"/>
        <w:rPr>
          <w:rFonts w:asciiTheme="minorHAnsi" w:hAnsiTheme="minorHAnsi" w:cstheme="minorHAnsi"/>
          <w:sz w:val="24"/>
        </w:rPr>
      </w:pPr>
      <w:r w:rsidRPr="00092A57">
        <w:rPr>
          <w:rFonts w:asciiTheme="minorHAnsi" w:hAnsiTheme="minorHAnsi" w:cstheme="minorHAnsi"/>
          <w:sz w:val="24"/>
        </w:rPr>
        <w:t xml:space="preserve">The national statistical bulletin, Adult Smoking Habits in Great Britain 2013, published by the ONS is available at </w:t>
      </w:r>
      <w:hyperlink r:id="rId15" w:history="1">
        <w:r w:rsidRPr="00571CD1">
          <w:rPr>
            <w:rStyle w:val="Hyperlink"/>
            <w:rFonts w:asciiTheme="minorHAnsi" w:hAnsiTheme="minorHAnsi" w:cstheme="minorHAnsi"/>
            <w:sz w:val="24"/>
          </w:rPr>
          <w:t>http://www.ons.gov.uk/ons/dcp171778_386291.pdf</w:t>
        </w:r>
      </w:hyperlink>
      <w:r>
        <w:rPr>
          <w:rFonts w:asciiTheme="minorHAnsi" w:hAnsiTheme="minorHAnsi" w:cstheme="minorHAnsi"/>
          <w:sz w:val="24"/>
        </w:rPr>
        <w:t xml:space="preserve"> </w:t>
      </w:r>
      <w:r w:rsidRPr="00092A57">
        <w:rPr>
          <w:rFonts w:asciiTheme="minorHAnsi" w:hAnsiTheme="minorHAnsi" w:cstheme="minorHAnsi"/>
          <w:sz w:val="24"/>
        </w:rPr>
        <w:t>.</w:t>
      </w:r>
    </w:p>
    <w:p w:rsidR="00815D3F" w:rsidRDefault="00815D3F" w:rsidP="00815D3F">
      <w:pPr>
        <w:rPr>
          <w:rFonts w:ascii="Calibri" w:hAnsi="Calibri" w:cs="Calibri"/>
          <w:sz w:val="24"/>
          <w:szCs w:val="24"/>
        </w:rPr>
      </w:pPr>
    </w:p>
    <w:p w:rsidR="00815D3F" w:rsidRDefault="00815D3F" w:rsidP="00815D3F">
      <w:pPr>
        <w:rPr>
          <w:rFonts w:ascii="Calibri" w:hAnsi="Calibri" w:cs="Calibri"/>
          <w:sz w:val="24"/>
          <w:szCs w:val="24"/>
        </w:rPr>
      </w:pPr>
      <w:r>
        <w:rPr>
          <w:rFonts w:ascii="Calibri" w:hAnsi="Calibri" w:cs="Calibri"/>
          <w:sz w:val="24"/>
          <w:szCs w:val="24"/>
        </w:rPr>
        <w:t xml:space="preserve">Details on the synthetic estimates of the smoking status of young people are available at </w:t>
      </w:r>
      <w:hyperlink r:id="rId16" w:history="1">
        <w:r w:rsidRPr="00C3321F">
          <w:rPr>
            <w:rStyle w:val="Hyperlink"/>
            <w:rFonts w:ascii="Calibri" w:hAnsi="Calibri" w:cs="Calibri"/>
            <w:sz w:val="24"/>
            <w:szCs w:val="24"/>
          </w:rPr>
          <w:t>https://www.understandingsociety.ac.uk/2015/01/28/towns-in-england-smoking-rates</w:t>
        </w:r>
      </w:hyperlink>
      <w:r>
        <w:rPr>
          <w:rFonts w:ascii="Calibri" w:hAnsi="Calibri" w:cs="Calibri"/>
          <w:sz w:val="24"/>
          <w:szCs w:val="24"/>
        </w:rPr>
        <w:t>.</w:t>
      </w:r>
    </w:p>
    <w:p w:rsidR="00815D3F" w:rsidRDefault="00815D3F" w:rsidP="00815D3F">
      <w:pPr>
        <w:rPr>
          <w:rFonts w:ascii="Calibri" w:hAnsi="Calibri" w:cs="Calibri"/>
          <w:sz w:val="24"/>
          <w:szCs w:val="24"/>
        </w:rPr>
      </w:pPr>
    </w:p>
    <w:p w:rsidR="000D2417" w:rsidRDefault="000D2417" w:rsidP="000D2417">
      <w:pPr>
        <w:jc w:val="both"/>
        <w:rPr>
          <w:rFonts w:ascii="Calibri" w:hAnsi="Calibri" w:cs="Calibri"/>
          <w:sz w:val="24"/>
          <w:szCs w:val="24"/>
        </w:rPr>
      </w:pPr>
    </w:p>
    <w:p w:rsidR="000D2417" w:rsidRDefault="000D2417" w:rsidP="000D2417">
      <w:pPr>
        <w:jc w:val="both"/>
        <w:rPr>
          <w:rFonts w:ascii="Calibri" w:hAnsi="Calibri" w:cs="Calibri"/>
          <w:sz w:val="24"/>
          <w:szCs w:val="24"/>
        </w:rPr>
      </w:pPr>
    </w:p>
    <w:p w:rsidR="00B24908" w:rsidRPr="00B24908" w:rsidRDefault="00B24908" w:rsidP="00B24908">
      <w:pPr>
        <w:rPr>
          <w:rFonts w:asciiTheme="minorHAnsi" w:hAnsiTheme="minorHAnsi" w:cstheme="minorHAnsi"/>
          <w:b/>
        </w:rPr>
      </w:pPr>
      <w:r w:rsidRPr="00B24908">
        <w:rPr>
          <w:rFonts w:asciiTheme="minorHAnsi" w:hAnsiTheme="minorHAnsi" w:cstheme="minorHAnsi"/>
          <w:b/>
        </w:rPr>
        <w:t>Stop smoking services in West Sussex</w:t>
      </w:r>
    </w:p>
    <w:p w:rsidR="00B24908" w:rsidRDefault="00B24908" w:rsidP="00B24908">
      <w:pPr>
        <w:rPr>
          <w:rFonts w:asciiTheme="minorHAnsi" w:hAnsiTheme="minorHAnsi" w:cstheme="minorHAnsi"/>
        </w:rPr>
      </w:pPr>
    </w:p>
    <w:p w:rsidR="00B24908" w:rsidRDefault="00B24908" w:rsidP="00B24908">
      <w:pPr>
        <w:pStyle w:val="ListParagraph"/>
        <w:numPr>
          <w:ilvl w:val="0"/>
          <w:numId w:val="18"/>
        </w:numPr>
        <w:jc w:val="both"/>
        <w:rPr>
          <w:rFonts w:asciiTheme="minorHAnsi" w:hAnsiTheme="minorHAnsi" w:cstheme="minorHAnsi"/>
        </w:rPr>
      </w:pPr>
      <w:r w:rsidRPr="00B24908">
        <w:rPr>
          <w:rFonts w:asciiTheme="minorHAnsi" w:hAnsiTheme="minorHAnsi" w:cstheme="minorHAnsi"/>
        </w:rPr>
        <w:t>Stop smoking services are well established in the UK and have a significant impact on helping smokers to stop. The primary role of stop smoking services is to deliver a high quality evidence based stop smoking intervention to the local population in accordance with NCSCT service and delivery guidance and NICE guidance. In West Sussex, a specialist provider offers stop smoking support to specific hard to reach groups</w:t>
      </w:r>
      <w:r>
        <w:rPr>
          <w:rFonts w:asciiTheme="minorHAnsi" w:hAnsiTheme="minorHAnsi" w:cstheme="minorHAnsi"/>
        </w:rPr>
        <w:t xml:space="preserve"> (see table 3)</w:t>
      </w:r>
      <w:r w:rsidRPr="00B24908">
        <w:rPr>
          <w:rFonts w:asciiTheme="minorHAnsi" w:hAnsiTheme="minorHAnsi" w:cstheme="minorHAnsi"/>
        </w:rPr>
        <w:t xml:space="preserve"> in community clinics located across the county. There are also 90 GP surgeries and 72 pharmacies delivering stop smoking support. </w:t>
      </w:r>
    </w:p>
    <w:p w:rsidR="00B24908" w:rsidRPr="00B24908" w:rsidRDefault="00B24908" w:rsidP="00B24908">
      <w:pPr>
        <w:pStyle w:val="ListParagraph"/>
        <w:jc w:val="both"/>
        <w:rPr>
          <w:rFonts w:asciiTheme="minorHAnsi" w:hAnsiTheme="minorHAnsi" w:cstheme="minorHAnsi"/>
        </w:rPr>
      </w:pPr>
    </w:p>
    <w:tbl>
      <w:tblPr>
        <w:tblStyle w:val="TableGrid"/>
        <w:tblpPr w:leftFromText="180" w:rightFromText="180" w:vertAnchor="text" w:horzAnchor="margin" w:tblpXSpec="center"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tblGrid>
      <w:tr w:rsidR="00B24908" w:rsidRPr="00B24908" w:rsidTr="00B24908">
        <w:tc>
          <w:tcPr>
            <w:tcW w:w="5778" w:type="dxa"/>
            <w:tcBorders>
              <w:bottom w:val="single" w:sz="4" w:space="0" w:color="auto"/>
            </w:tcBorders>
            <w:shd w:val="clear" w:color="auto" w:fill="auto"/>
          </w:tcPr>
          <w:p w:rsidR="00B24908" w:rsidRPr="00B24908" w:rsidRDefault="00B24908" w:rsidP="00B24908">
            <w:pPr>
              <w:rPr>
                <w:rFonts w:asciiTheme="minorHAnsi" w:hAnsiTheme="minorHAnsi" w:cstheme="minorHAnsi"/>
              </w:rPr>
            </w:pPr>
            <w:r w:rsidRPr="00B24908">
              <w:rPr>
                <w:rFonts w:asciiTheme="minorHAnsi" w:hAnsiTheme="minorHAnsi" w:cstheme="minorHAnsi"/>
                <w:b/>
              </w:rPr>
              <w:t>Table 3</w:t>
            </w:r>
            <w:r w:rsidRPr="00B24908">
              <w:rPr>
                <w:rFonts w:asciiTheme="minorHAnsi" w:hAnsiTheme="minorHAnsi" w:cstheme="minorHAnsi"/>
              </w:rPr>
              <w:t xml:space="preserve"> Hard to reach groups serviced by the specialist service</w:t>
            </w:r>
          </w:p>
        </w:tc>
      </w:tr>
      <w:tr w:rsidR="00B24908" w:rsidRPr="00B24908" w:rsidTr="00B24908">
        <w:tc>
          <w:tcPr>
            <w:tcW w:w="5778" w:type="dxa"/>
            <w:tcBorders>
              <w:top w:val="single" w:sz="4" w:space="0" w:color="auto"/>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Smokers with at least five unsuccessful quit attempts</w:t>
            </w:r>
          </w:p>
        </w:tc>
      </w:tr>
      <w:tr w:rsidR="00B24908" w:rsidRPr="00B24908" w:rsidTr="00B24908">
        <w:tc>
          <w:tcPr>
            <w:tcW w:w="5778" w:type="dxa"/>
            <w:tcBorders>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Residents in deprived wards</w:t>
            </w:r>
          </w:p>
        </w:tc>
      </w:tr>
      <w:tr w:rsidR="00B24908" w:rsidRPr="00B24908" w:rsidTr="00B24908">
        <w:tc>
          <w:tcPr>
            <w:tcW w:w="5778" w:type="dxa"/>
            <w:tcBorders>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Routine and manual workers</w:t>
            </w:r>
          </w:p>
        </w:tc>
      </w:tr>
      <w:tr w:rsidR="00B24908" w:rsidRPr="00B24908" w:rsidTr="00B24908">
        <w:tc>
          <w:tcPr>
            <w:tcW w:w="5778" w:type="dxa"/>
            <w:tcBorders>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Minority ethnic groups</w:t>
            </w:r>
          </w:p>
        </w:tc>
      </w:tr>
      <w:tr w:rsidR="00B24908" w:rsidRPr="00B24908" w:rsidTr="00B24908">
        <w:tc>
          <w:tcPr>
            <w:tcW w:w="5778" w:type="dxa"/>
            <w:tcBorders>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Young people (under 25 years)</w:t>
            </w:r>
          </w:p>
        </w:tc>
      </w:tr>
      <w:tr w:rsidR="00B24908" w:rsidRPr="00B24908" w:rsidTr="00B24908">
        <w:tc>
          <w:tcPr>
            <w:tcW w:w="5778" w:type="dxa"/>
            <w:tcBorders>
              <w:left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Mental health service users in the community</w:t>
            </w:r>
          </w:p>
        </w:tc>
      </w:tr>
      <w:tr w:rsidR="00B24908" w:rsidRPr="00B24908" w:rsidTr="00B24908">
        <w:tc>
          <w:tcPr>
            <w:tcW w:w="5778" w:type="dxa"/>
            <w:tcBorders>
              <w:left w:val="single" w:sz="4" w:space="0" w:color="auto"/>
              <w:bottom w:val="single" w:sz="4" w:space="0" w:color="auto"/>
              <w:right w:val="single" w:sz="4" w:space="0" w:color="auto"/>
            </w:tcBorders>
            <w:shd w:val="clear" w:color="auto" w:fill="auto"/>
          </w:tcPr>
          <w:p w:rsidR="00B24908" w:rsidRPr="00B24908" w:rsidRDefault="00B24908" w:rsidP="00B24908">
            <w:pPr>
              <w:pStyle w:val="ListParagraph"/>
              <w:numPr>
                <w:ilvl w:val="0"/>
                <w:numId w:val="19"/>
              </w:numPr>
              <w:ind w:left="426" w:hanging="284"/>
              <w:rPr>
                <w:rFonts w:asciiTheme="minorHAnsi" w:hAnsiTheme="minorHAnsi" w:cstheme="minorHAnsi"/>
              </w:rPr>
            </w:pPr>
            <w:r w:rsidRPr="00B24908">
              <w:rPr>
                <w:rFonts w:asciiTheme="minorHAnsi" w:hAnsiTheme="minorHAnsi" w:cstheme="minorHAnsi"/>
              </w:rPr>
              <w:t>Pregnant smokers and their partners</w:t>
            </w:r>
          </w:p>
        </w:tc>
      </w:tr>
    </w:tbl>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B24908" w:rsidP="00B24908">
      <w:pPr>
        <w:jc w:val="both"/>
        <w:rPr>
          <w:rFonts w:asciiTheme="minorHAnsi" w:hAnsiTheme="minorHAnsi" w:cstheme="minorHAnsi"/>
        </w:rPr>
      </w:pPr>
    </w:p>
    <w:p w:rsidR="00B24908" w:rsidRPr="00B24908" w:rsidRDefault="004D51C8" w:rsidP="00B24908">
      <w:pPr>
        <w:pStyle w:val="ListParagraph"/>
        <w:numPr>
          <w:ilvl w:val="0"/>
          <w:numId w:val="18"/>
        </w:numPr>
        <w:jc w:val="both"/>
        <w:rPr>
          <w:rFonts w:asciiTheme="minorHAnsi" w:hAnsiTheme="minorHAnsi" w:cstheme="minorHAnsi"/>
        </w:rPr>
      </w:pPr>
      <w:hyperlink r:id="rId17" w:history="1">
        <w:r w:rsidR="00B24908" w:rsidRPr="00B24908">
          <w:rPr>
            <w:rStyle w:val="Hyperlink"/>
            <w:rFonts w:asciiTheme="minorHAnsi" w:hAnsiTheme="minorHAnsi" w:cstheme="minorHAnsi"/>
          </w:rPr>
          <w:t>Smokefree West Sussex</w:t>
        </w:r>
      </w:hyperlink>
      <w:r w:rsidR="00B24908" w:rsidRPr="00B24908">
        <w:rPr>
          <w:rFonts w:asciiTheme="minorHAnsi" w:hAnsiTheme="minorHAnsi" w:cstheme="minorHAnsi"/>
        </w:rPr>
        <w:t xml:space="preserve"> services are open to all residents of West Sussex on an appoin</w:t>
      </w:r>
      <w:r w:rsidR="00B24908">
        <w:rPr>
          <w:rFonts w:asciiTheme="minorHAnsi" w:hAnsiTheme="minorHAnsi" w:cstheme="minorHAnsi"/>
        </w:rPr>
        <w:t>tment or drop in basis. Support</w:t>
      </w:r>
      <w:r w:rsidR="00B24908" w:rsidRPr="00B24908">
        <w:rPr>
          <w:rFonts w:asciiTheme="minorHAnsi" w:hAnsiTheme="minorHAnsi" w:cstheme="minorHAnsi"/>
        </w:rPr>
        <w:t xml:space="preserve"> is offered in one-to-one or group sessions. Clinics located in GP surgeries are available for anyone registered at that practice and who have elected to have an appointment with an advisor. </w:t>
      </w:r>
    </w:p>
    <w:p w:rsidR="00B24908" w:rsidRPr="00B24908" w:rsidRDefault="00B24908" w:rsidP="00B24908">
      <w:pPr>
        <w:jc w:val="both"/>
        <w:rPr>
          <w:rFonts w:asciiTheme="minorHAnsi" w:hAnsiTheme="minorHAnsi" w:cstheme="minorHAnsi"/>
        </w:rPr>
      </w:pPr>
    </w:p>
    <w:p w:rsidR="00B24908" w:rsidRPr="00B24908" w:rsidRDefault="00B24908" w:rsidP="00B24908">
      <w:pPr>
        <w:pStyle w:val="ListParagraph"/>
        <w:numPr>
          <w:ilvl w:val="0"/>
          <w:numId w:val="18"/>
        </w:numPr>
        <w:jc w:val="both"/>
        <w:rPr>
          <w:rFonts w:asciiTheme="minorHAnsi" w:hAnsiTheme="minorHAnsi" w:cstheme="minorHAnsi"/>
        </w:rPr>
      </w:pPr>
      <w:r w:rsidRPr="00B24908">
        <w:rPr>
          <w:rFonts w:asciiTheme="minorHAnsi" w:hAnsiTheme="minorHAnsi" w:cstheme="minorHAnsi"/>
        </w:rPr>
        <w:t xml:space="preserve">The model commissioned in West Sussex is an abrupt cessation model after which a person will smoke ‘not one puff’ on a cigarette. The support offered by stop smoking services involves a combination of behavioural support and licenced pharmacotherapy. Evidence suggests residents accessing stop smoking services using this model will be four times more likely to stop smoking than trying to stop on their own. </w:t>
      </w:r>
    </w:p>
    <w:p w:rsidR="00B24908" w:rsidRPr="00B24908" w:rsidRDefault="00B24908" w:rsidP="00B24908">
      <w:pPr>
        <w:jc w:val="both"/>
        <w:rPr>
          <w:rFonts w:asciiTheme="minorHAnsi" w:hAnsiTheme="minorHAnsi" w:cstheme="minorHAnsi"/>
        </w:rPr>
      </w:pPr>
    </w:p>
    <w:p w:rsidR="00B24908" w:rsidRPr="00B24908" w:rsidRDefault="00B24908" w:rsidP="00B24908">
      <w:pPr>
        <w:pStyle w:val="ListParagraph"/>
        <w:numPr>
          <w:ilvl w:val="0"/>
          <w:numId w:val="18"/>
        </w:numPr>
        <w:jc w:val="both"/>
        <w:rPr>
          <w:rFonts w:asciiTheme="minorHAnsi" w:hAnsiTheme="minorHAnsi" w:cstheme="minorHAnsi"/>
        </w:rPr>
      </w:pPr>
      <w:r w:rsidRPr="00B24908">
        <w:rPr>
          <w:rFonts w:asciiTheme="minorHAnsi" w:hAnsiTheme="minorHAnsi" w:cstheme="minorHAnsi"/>
        </w:rPr>
        <w:t xml:space="preserve">The specialist service provider also provides training in brief intervention and smoking cessation to support GPs and pharmacies. They are also responsible for collating and monitoring data and reporting smoking cessation activity to the Department of Health on behalf of all the smoking cessation services. </w:t>
      </w:r>
    </w:p>
    <w:p w:rsidR="00B24908" w:rsidRPr="00B24908" w:rsidRDefault="00B24908" w:rsidP="00B24908">
      <w:pPr>
        <w:rPr>
          <w:rFonts w:asciiTheme="minorHAnsi" w:hAnsiTheme="minorHAnsi" w:cstheme="minorHAnsi"/>
          <w:color w:val="1F497D"/>
        </w:rPr>
      </w:pPr>
    </w:p>
    <w:p w:rsidR="00B24908" w:rsidRPr="00B24908" w:rsidRDefault="00B24908" w:rsidP="00B24908">
      <w:pPr>
        <w:rPr>
          <w:rFonts w:asciiTheme="minorHAnsi" w:hAnsiTheme="minorHAnsi" w:cstheme="minorHAnsi"/>
          <w:color w:val="1F497D"/>
          <w:lang w:eastAsia="en-GB"/>
        </w:rPr>
      </w:pPr>
    </w:p>
    <w:p w:rsidR="00B24908" w:rsidRPr="00B24908" w:rsidRDefault="00B24908" w:rsidP="00B24908">
      <w:pPr>
        <w:rPr>
          <w:rFonts w:asciiTheme="minorHAnsi" w:hAnsiTheme="minorHAnsi" w:cstheme="minorHAnsi"/>
          <w:color w:val="1F497D"/>
          <w:lang w:eastAsia="en-GB"/>
        </w:rPr>
      </w:pPr>
    </w:p>
    <w:p w:rsidR="00B24908" w:rsidRPr="00B24908" w:rsidRDefault="00B24908" w:rsidP="00B24908">
      <w:pPr>
        <w:rPr>
          <w:rFonts w:asciiTheme="minorHAnsi" w:hAnsiTheme="minorHAnsi" w:cstheme="minorHAnsi"/>
          <w:color w:val="1F497D"/>
          <w:lang w:eastAsia="en-GB"/>
        </w:rPr>
      </w:pPr>
    </w:p>
    <w:p w:rsidR="00B24908" w:rsidRDefault="00B24908" w:rsidP="00B24908">
      <w:pPr>
        <w:rPr>
          <w:color w:val="1F497D"/>
          <w:lang w:eastAsia="en-GB"/>
        </w:rPr>
      </w:pPr>
    </w:p>
    <w:p w:rsidR="004A00EB" w:rsidRPr="004A00EB" w:rsidRDefault="004A00EB" w:rsidP="004A00EB">
      <w:pPr>
        <w:jc w:val="both"/>
        <w:rPr>
          <w:rFonts w:ascii="Calibri" w:hAnsi="Calibri" w:cs="Calibri"/>
          <w:sz w:val="24"/>
          <w:szCs w:val="24"/>
        </w:rPr>
      </w:pPr>
    </w:p>
    <w:sectPr w:rsidR="004A00EB" w:rsidRPr="004A00EB" w:rsidSect="00300A9E">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0DB" w:rsidRDefault="00F300DB" w:rsidP="00D91C04">
      <w:r>
        <w:separator/>
      </w:r>
    </w:p>
  </w:endnote>
  <w:endnote w:type="continuationSeparator" w:id="0">
    <w:p w:rsidR="00F300DB" w:rsidRDefault="00F300DB" w:rsidP="00D9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DB" w:rsidRDefault="00F300DB">
    <w:pPr>
      <w:pStyle w:val="Footer"/>
      <w:rPr>
        <w:rFonts w:ascii="Calibri" w:hAnsi="Calibri"/>
        <w:sz w:val="20"/>
        <w:szCs w:val="20"/>
      </w:rPr>
    </w:pPr>
    <w:r>
      <w:rPr>
        <w:rFonts w:ascii="Calibri" w:hAnsi="Calibri"/>
        <w:noProof/>
        <w:sz w:val="20"/>
        <w:szCs w:val="20"/>
        <w:lang w:eastAsia="en-GB"/>
      </w:rPr>
      <mc:AlternateContent>
        <mc:Choice Requires="wps">
          <w:drawing>
            <wp:anchor distT="0" distB="0" distL="114300" distR="114300" simplePos="0" relativeHeight="251658240" behindDoc="0" locked="0" layoutInCell="1" allowOverlap="1" wp14:anchorId="07632865" wp14:editId="02115FD2">
              <wp:simplePos x="0" y="0"/>
              <wp:positionH relativeFrom="column">
                <wp:posOffset>3810</wp:posOffset>
              </wp:positionH>
              <wp:positionV relativeFrom="paragraph">
                <wp:posOffset>111760</wp:posOffset>
              </wp:positionV>
              <wp:extent cx="6267450" cy="0"/>
              <wp:effectExtent l="13335" t="6985" r="5715"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pt;margin-top:8.8pt;width:49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" strokecolor="black [3213]"/>
          </w:pict>
        </mc:Fallback>
      </mc:AlternateContent>
    </w:r>
  </w:p>
  <w:p w:rsidR="00F300DB" w:rsidRPr="006C56DB" w:rsidRDefault="00F300DB">
    <w:pPr>
      <w:pStyle w:val="Footer"/>
      <w:rPr>
        <w:rFonts w:ascii="Calibri" w:hAnsi="Calibri"/>
        <w:sz w:val="20"/>
        <w:szCs w:val="20"/>
      </w:rPr>
    </w:pPr>
    <w:r>
      <w:rPr>
        <w:rFonts w:ascii="Calibri" w:hAnsi="Calibri"/>
        <w:sz w:val="20"/>
        <w:szCs w:val="20"/>
      </w:rPr>
      <w:t>JSNA Data Briefing 2015</w:t>
    </w:r>
  </w:p>
  <w:p w:rsidR="00F300DB" w:rsidRDefault="00F300DB" w:rsidP="00055E37">
    <w:pPr>
      <w:pStyle w:val="Footer"/>
      <w:tabs>
        <w:tab w:val="clear" w:pos="4680"/>
        <w:tab w:val="clear" w:pos="9360"/>
        <w:tab w:val="center" w:pos="4960"/>
        <w:tab w:val="right" w:pos="9921"/>
      </w:tabs>
    </w:pPr>
    <w:r w:rsidRPr="00EF375F">
      <w:rPr>
        <w:rFonts w:ascii="Calibri" w:hAnsi="Calibri"/>
        <w:sz w:val="20"/>
        <w:szCs w:val="20"/>
      </w:rPr>
      <w:t xml:space="preserve">Page </w:t>
    </w:r>
    <w:r w:rsidRPr="00EF375F">
      <w:rPr>
        <w:rFonts w:ascii="Calibri" w:hAnsi="Calibri"/>
        <w:sz w:val="20"/>
        <w:szCs w:val="20"/>
      </w:rPr>
      <w:fldChar w:fldCharType="begin"/>
    </w:r>
    <w:r w:rsidRPr="00EF375F">
      <w:rPr>
        <w:rFonts w:ascii="Calibri" w:hAnsi="Calibri"/>
        <w:sz w:val="20"/>
        <w:szCs w:val="20"/>
      </w:rPr>
      <w:instrText xml:space="preserve"> PAGE   \* MERGEFORMAT </w:instrText>
    </w:r>
    <w:r w:rsidRPr="00EF375F">
      <w:rPr>
        <w:rFonts w:ascii="Calibri" w:hAnsi="Calibri"/>
        <w:sz w:val="20"/>
        <w:szCs w:val="20"/>
      </w:rPr>
      <w:fldChar w:fldCharType="separate"/>
    </w:r>
    <w:r w:rsidR="004D51C8">
      <w:rPr>
        <w:rFonts w:ascii="Calibri" w:hAnsi="Calibri"/>
        <w:noProof/>
        <w:sz w:val="20"/>
        <w:szCs w:val="20"/>
      </w:rPr>
      <w:t>1</w:t>
    </w:r>
    <w:r w:rsidRPr="00EF375F">
      <w:rPr>
        <w:rFonts w:ascii="Calibri" w:hAnsi="Calibri"/>
        <w:sz w:val="20"/>
        <w:szCs w:val="20"/>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0DB" w:rsidRDefault="00F300DB" w:rsidP="00D91C04">
      <w:r>
        <w:separator/>
      </w:r>
    </w:p>
  </w:footnote>
  <w:footnote w:type="continuationSeparator" w:id="0">
    <w:p w:rsidR="00F300DB" w:rsidRDefault="00F300DB" w:rsidP="00D91C04">
      <w:r>
        <w:continuationSeparator/>
      </w:r>
    </w:p>
  </w:footnote>
  <w:footnote w:id="1">
    <w:p w:rsidR="00F300DB" w:rsidRDefault="00F300DB">
      <w:pPr>
        <w:pStyle w:val="FootnoteText"/>
      </w:pPr>
      <w:r>
        <w:rPr>
          <w:rStyle w:val="FootnoteReference"/>
        </w:rPr>
        <w:footnoteRef/>
      </w:r>
      <w:r>
        <w:t xml:space="preserve"> The methodology for creating the weighting variables for the survey can be found at the following website address: </w:t>
      </w:r>
      <w:hyperlink r:id="rId1" w:history="1">
        <w:r w:rsidRPr="00104328">
          <w:rPr>
            <w:rStyle w:val="Hyperlink"/>
          </w:rPr>
          <w:t>http://www.ons.gov.uk/ons/guide-method/method-quality/specific/social-and-welfare-methodology/integrated-household-survey/index.html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2D5F"/>
    <w:multiLevelType w:val="hybridMultilevel"/>
    <w:tmpl w:val="B442FD0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8F20DE"/>
    <w:multiLevelType w:val="hybridMultilevel"/>
    <w:tmpl w:val="16E803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A20611"/>
    <w:multiLevelType w:val="hybridMultilevel"/>
    <w:tmpl w:val="E5207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F7776"/>
    <w:multiLevelType w:val="hybridMultilevel"/>
    <w:tmpl w:val="6BEA8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4EB131B"/>
    <w:multiLevelType w:val="hybridMultilevel"/>
    <w:tmpl w:val="3D846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5B5A41"/>
    <w:multiLevelType w:val="hybridMultilevel"/>
    <w:tmpl w:val="88B882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B30460"/>
    <w:multiLevelType w:val="hybridMultilevel"/>
    <w:tmpl w:val="AA08A412"/>
    <w:lvl w:ilvl="0" w:tplc="0809000F">
      <w:start w:val="1"/>
      <w:numFmt w:val="decimal"/>
      <w:lvlText w:val="%1."/>
      <w:lvlJc w:val="left"/>
      <w:pPr>
        <w:ind w:left="360" w:hanging="360"/>
      </w:pPr>
      <w:rPr>
        <w:rFonts w:cs="Times New Roman"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7">
    <w:nsid w:val="36063435"/>
    <w:multiLevelType w:val="hybridMultilevel"/>
    <w:tmpl w:val="196A6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4D2762"/>
    <w:multiLevelType w:val="hybridMultilevel"/>
    <w:tmpl w:val="07B628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63D47"/>
    <w:multiLevelType w:val="hybridMultilevel"/>
    <w:tmpl w:val="0EE83A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40E6DB8"/>
    <w:multiLevelType w:val="hybridMultilevel"/>
    <w:tmpl w:val="FD0092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5C0C08"/>
    <w:multiLevelType w:val="hybridMultilevel"/>
    <w:tmpl w:val="9948C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C800F0"/>
    <w:multiLevelType w:val="hybridMultilevel"/>
    <w:tmpl w:val="393656A6"/>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C28332E"/>
    <w:multiLevelType w:val="hybridMultilevel"/>
    <w:tmpl w:val="6B1CAE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55741D"/>
    <w:multiLevelType w:val="hybridMultilevel"/>
    <w:tmpl w:val="755481D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6FB82DC3"/>
    <w:multiLevelType w:val="hybridMultilevel"/>
    <w:tmpl w:val="8B688B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70D318BE"/>
    <w:multiLevelType w:val="hybridMultilevel"/>
    <w:tmpl w:val="B01C9C6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29F0C5E"/>
    <w:multiLevelType w:val="hybridMultilevel"/>
    <w:tmpl w:val="54ACD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5D426C"/>
    <w:multiLevelType w:val="hybridMultilevel"/>
    <w:tmpl w:val="DD8A7D7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8"/>
  </w:num>
  <w:num w:numId="6">
    <w:abstractNumId w:val="13"/>
  </w:num>
  <w:num w:numId="7">
    <w:abstractNumId w:val="2"/>
  </w:num>
  <w:num w:numId="8">
    <w:abstractNumId w:val="7"/>
  </w:num>
  <w:num w:numId="9">
    <w:abstractNumId w:val="1"/>
  </w:num>
  <w:num w:numId="10">
    <w:abstractNumId w:val="14"/>
  </w:num>
  <w:num w:numId="11">
    <w:abstractNumId w:val="16"/>
  </w:num>
  <w:num w:numId="12">
    <w:abstractNumId w:val="18"/>
  </w:num>
  <w:num w:numId="13">
    <w:abstractNumId w:val="0"/>
  </w:num>
  <w:num w:numId="14">
    <w:abstractNumId w:val="5"/>
  </w:num>
  <w:num w:numId="15">
    <w:abstractNumId w:val="15"/>
  </w:num>
  <w:num w:numId="16">
    <w:abstractNumId w:val="9"/>
  </w:num>
  <w:num w:numId="17">
    <w:abstractNumId w:val="1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B9"/>
    <w:rsid w:val="00026B1A"/>
    <w:rsid w:val="0003225B"/>
    <w:rsid w:val="00045CDF"/>
    <w:rsid w:val="00050E17"/>
    <w:rsid w:val="00052ABD"/>
    <w:rsid w:val="00055E37"/>
    <w:rsid w:val="00057F49"/>
    <w:rsid w:val="000614B9"/>
    <w:rsid w:val="000639F3"/>
    <w:rsid w:val="0008583A"/>
    <w:rsid w:val="00092A57"/>
    <w:rsid w:val="00093B3F"/>
    <w:rsid w:val="00097EC3"/>
    <w:rsid w:val="000A2BB4"/>
    <w:rsid w:val="000A696E"/>
    <w:rsid w:val="000D2417"/>
    <w:rsid w:val="000E1B81"/>
    <w:rsid w:val="000E51BD"/>
    <w:rsid w:val="000E5607"/>
    <w:rsid w:val="000F73CF"/>
    <w:rsid w:val="000F7BBC"/>
    <w:rsid w:val="00123E83"/>
    <w:rsid w:val="001475E4"/>
    <w:rsid w:val="00162545"/>
    <w:rsid w:val="00164C3E"/>
    <w:rsid w:val="001B19B2"/>
    <w:rsid w:val="001B3554"/>
    <w:rsid w:val="001B47B0"/>
    <w:rsid w:val="001B6DA5"/>
    <w:rsid w:val="001C476F"/>
    <w:rsid w:val="001D4257"/>
    <w:rsid w:val="001D4A9A"/>
    <w:rsid w:val="001F0F2D"/>
    <w:rsid w:val="001F4220"/>
    <w:rsid w:val="00225728"/>
    <w:rsid w:val="00226D6A"/>
    <w:rsid w:val="00227140"/>
    <w:rsid w:val="00270EF7"/>
    <w:rsid w:val="002803C1"/>
    <w:rsid w:val="00281405"/>
    <w:rsid w:val="002B16BC"/>
    <w:rsid w:val="002B79B6"/>
    <w:rsid w:val="00300A9E"/>
    <w:rsid w:val="00302B69"/>
    <w:rsid w:val="0032176C"/>
    <w:rsid w:val="0032621F"/>
    <w:rsid w:val="00344487"/>
    <w:rsid w:val="0038503E"/>
    <w:rsid w:val="003B4B4E"/>
    <w:rsid w:val="003F3088"/>
    <w:rsid w:val="00404DAE"/>
    <w:rsid w:val="0044398B"/>
    <w:rsid w:val="00464690"/>
    <w:rsid w:val="00474EFC"/>
    <w:rsid w:val="00486E71"/>
    <w:rsid w:val="004A00EB"/>
    <w:rsid w:val="004C2B82"/>
    <w:rsid w:val="004C4DFE"/>
    <w:rsid w:val="004C524D"/>
    <w:rsid w:val="004D51C8"/>
    <w:rsid w:val="004E5819"/>
    <w:rsid w:val="004E683D"/>
    <w:rsid w:val="004E6962"/>
    <w:rsid w:val="00505002"/>
    <w:rsid w:val="005115BE"/>
    <w:rsid w:val="00526276"/>
    <w:rsid w:val="005265DA"/>
    <w:rsid w:val="0055456D"/>
    <w:rsid w:val="00575333"/>
    <w:rsid w:val="005B1E5B"/>
    <w:rsid w:val="005D4C4A"/>
    <w:rsid w:val="005D7E4B"/>
    <w:rsid w:val="005F171E"/>
    <w:rsid w:val="005F2394"/>
    <w:rsid w:val="00605DBC"/>
    <w:rsid w:val="00615D61"/>
    <w:rsid w:val="006233C7"/>
    <w:rsid w:val="0063052B"/>
    <w:rsid w:val="00633582"/>
    <w:rsid w:val="006368FC"/>
    <w:rsid w:val="006436FB"/>
    <w:rsid w:val="00651CCB"/>
    <w:rsid w:val="00657066"/>
    <w:rsid w:val="00683C2A"/>
    <w:rsid w:val="006842A2"/>
    <w:rsid w:val="00684A86"/>
    <w:rsid w:val="00695A85"/>
    <w:rsid w:val="006A57F8"/>
    <w:rsid w:val="006B2494"/>
    <w:rsid w:val="006B6E00"/>
    <w:rsid w:val="006C3647"/>
    <w:rsid w:val="006C56DB"/>
    <w:rsid w:val="006D44FA"/>
    <w:rsid w:val="00704E45"/>
    <w:rsid w:val="007313CD"/>
    <w:rsid w:val="0073601A"/>
    <w:rsid w:val="0077331C"/>
    <w:rsid w:val="00776680"/>
    <w:rsid w:val="00783A16"/>
    <w:rsid w:val="00792E07"/>
    <w:rsid w:val="007A124B"/>
    <w:rsid w:val="007A29CB"/>
    <w:rsid w:val="007A5DA5"/>
    <w:rsid w:val="007A6AC6"/>
    <w:rsid w:val="007A74C7"/>
    <w:rsid w:val="007D23FD"/>
    <w:rsid w:val="00811CAC"/>
    <w:rsid w:val="00815D3F"/>
    <w:rsid w:val="00822E4B"/>
    <w:rsid w:val="00832E76"/>
    <w:rsid w:val="00833E7B"/>
    <w:rsid w:val="00836A80"/>
    <w:rsid w:val="008379D8"/>
    <w:rsid w:val="0084204C"/>
    <w:rsid w:val="008447F8"/>
    <w:rsid w:val="00847875"/>
    <w:rsid w:val="008727AF"/>
    <w:rsid w:val="00886AD9"/>
    <w:rsid w:val="00891C76"/>
    <w:rsid w:val="00896C0B"/>
    <w:rsid w:val="008B0228"/>
    <w:rsid w:val="008B24B4"/>
    <w:rsid w:val="008C0366"/>
    <w:rsid w:val="00901AF2"/>
    <w:rsid w:val="0091632C"/>
    <w:rsid w:val="00916910"/>
    <w:rsid w:val="009212F0"/>
    <w:rsid w:val="00944586"/>
    <w:rsid w:val="00957A82"/>
    <w:rsid w:val="00970F82"/>
    <w:rsid w:val="009A6AE4"/>
    <w:rsid w:val="009B4396"/>
    <w:rsid w:val="009C279D"/>
    <w:rsid w:val="009D2290"/>
    <w:rsid w:val="009F3536"/>
    <w:rsid w:val="009F5F27"/>
    <w:rsid w:val="00A14D6F"/>
    <w:rsid w:val="00A22A66"/>
    <w:rsid w:val="00A5607D"/>
    <w:rsid w:val="00A72F51"/>
    <w:rsid w:val="00AB4553"/>
    <w:rsid w:val="00AC6175"/>
    <w:rsid w:val="00AD2588"/>
    <w:rsid w:val="00B07D33"/>
    <w:rsid w:val="00B130B0"/>
    <w:rsid w:val="00B24908"/>
    <w:rsid w:val="00B87E9F"/>
    <w:rsid w:val="00BA18C8"/>
    <w:rsid w:val="00BD1C4A"/>
    <w:rsid w:val="00BD4B00"/>
    <w:rsid w:val="00BE1A64"/>
    <w:rsid w:val="00BE643A"/>
    <w:rsid w:val="00BF0F93"/>
    <w:rsid w:val="00BF5B07"/>
    <w:rsid w:val="00C07954"/>
    <w:rsid w:val="00C07C30"/>
    <w:rsid w:val="00C24800"/>
    <w:rsid w:val="00C30B57"/>
    <w:rsid w:val="00C43E7E"/>
    <w:rsid w:val="00C53E79"/>
    <w:rsid w:val="00C57970"/>
    <w:rsid w:val="00C75B49"/>
    <w:rsid w:val="00CA1841"/>
    <w:rsid w:val="00CB1F22"/>
    <w:rsid w:val="00CB4FE3"/>
    <w:rsid w:val="00CC42F6"/>
    <w:rsid w:val="00CC64A1"/>
    <w:rsid w:val="00CD0A9F"/>
    <w:rsid w:val="00CE5BB2"/>
    <w:rsid w:val="00CE5E23"/>
    <w:rsid w:val="00D25F38"/>
    <w:rsid w:val="00D331C8"/>
    <w:rsid w:val="00D359C8"/>
    <w:rsid w:val="00D359E8"/>
    <w:rsid w:val="00D47CA6"/>
    <w:rsid w:val="00D7038D"/>
    <w:rsid w:val="00D91C04"/>
    <w:rsid w:val="00DC1B48"/>
    <w:rsid w:val="00DC61AE"/>
    <w:rsid w:val="00DC6A32"/>
    <w:rsid w:val="00E17A14"/>
    <w:rsid w:val="00E240E7"/>
    <w:rsid w:val="00E525B2"/>
    <w:rsid w:val="00E84D26"/>
    <w:rsid w:val="00E97956"/>
    <w:rsid w:val="00EA08BD"/>
    <w:rsid w:val="00EF375F"/>
    <w:rsid w:val="00F200CA"/>
    <w:rsid w:val="00F25D9F"/>
    <w:rsid w:val="00F300DB"/>
    <w:rsid w:val="00F400A5"/>
    <w:rsid w:val="00F52760"/>
    <w:rsid w:val="00F53116"/>
    <w:rsid w:val="00F54991"/>
    <w:rsid w:val="00F90EF4"/>
    <w:rsid w:val="00F93C8E"/>
    <w:rsid w:val="00FA2089"/>
    <w:rsid w:val="00FE57A8"/>
    <w:rsid w:val="00FE71E9"/>
    <w:rsid w:val="00FF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7A82"/>
    <w:rPr>
      <w:rFonts w:eastAsia="Times New Roman"/>
      <w:sz w:val="22"/>
      <w:szCs w:val="22"/>
      <w:lang w:val="en-GB"/>
    </w:rPr>
  </w:style>
  <w:style w:type="paragraph" w:styleId="Heading3">
    <w:name w:val="heading 3"/>
    <w:basedOn w:val="Normal"/>
    <w:next w:val="Normal"/>
    <w:link w:val="Heading3Char"/>
    <w:uiPriority w:val="9"/>
    <w:unhideWhenUsed/>
    <w:qFormat/>
    <w:locked/>
    <w:rsid w:val="000D2417"/>
    <w:pPr>
      <w:keepNext/>
      <w:keepLines/>
      <w:spacing w:before="200" w:line="276" w:lineRule="auto"/>
      <w:outlineLvl w:val="2"/>
    </w:pPr>
    <w:rPr>
      <w:rFonts w:asciiTheme="minorHAnsi" w:eastAsiaTheme="majorEastAsia" w:hAnsiTheme="minorHAns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07C30"/>
    <w:rPr>
      <w:rFonts w:ascii="Tahoma" w:hAnsi="Tahoma" w:cs="Tahoma"/>
      <w:sz w:val="16"/>
      <w:szCs w:val="16"/>
    </w:rPr>
  </w:style>
  <w:style w:type="character" w:customStyle="1" w:styleId="BalloonTextChar">
    <w:name w:val="Balloon Text Char"/>
    <w:basedOn w:val="DefaultParagraphFont"/>
    <w:link w:val="BalloonText"/>
    <w:semiHidden/>
    <w:locked/>
    <w:rsid w:val="00C07C30"/>
    <w:rPr>
      <w:rFonts w:ascii="Tahoma" w:hAnsi="Tahoma" w:cs="Tahoma"/>
      <w:sz w:val="16"/>
      <w:szCs w:val="16"/>
    </w:rPr>
  </w:style>
  <w:style w:type="paragraph" w:styleId="ListParagraph">
    <w:name w:val="List Paragraph"/>
    <w:basedOn w:val="Normal"/>
    <w:qFormat/>
    <w:rsid w:val="001F4220"/>
    <w:pPr>
      <w:ind w:left="720"/>
    </w:pPr>
  </w:style>
  <w:style w:type="paragraph" w:styleId="FootnoteText">
    <w:name w:val="footnote text"/>
    <w:basedOn w:val="Normal"/>
    <w:link w:val="FootnoteTextChar"/>
    <w:semiHidden/>
    <w:rsid w:val="00D91C04"/>
    <w:rPr>
      <w:sz w:val="20"/>
      <w:szCs w:val="20"/>
    </w:rPr>
  </w:style>
  <w:style w:type="character" w:customStyle="1" w:styleId="FootnoteTextChar">
    <w:name w:val="Footnote Text Char"/>
    <w:basedOn w:val="DefaultParagraphFont"/>
    <w:link w:val="FootnoteText"/>
    <w:semiHidden/>
    <w:locked/>
    <w:rsid w:val="00D91C04"/>
    <w:rPr>
      <w:rFonts w:cs="Times New Roman"/>
      <w:sz w:val="20"/>
      <w:szCs w:val="20"/>
    </w:rPr>
  </w:style>
  <w:style w:type="character" w:styleId="FootnoteReference">
    <w:name w:val="footnote reference"/>
    <w:basedOn w:val="DefaultParagraphFont"/>
    <w:semiHidden/>
    <w:rsid w:val="00D91C04"/>
    <w:rPr>
      <w:rFonts w:cs="Times New Roman"/>
      <w:vertAlign w:val="superscript"/>
    </w:rPr>
  </w:style>
  <w:style w:type="paragraph" w:styleId="Header">
    <w:name w:val="header"/>
    <w:basedOn w:val="Normal"/>
    <w:link w:val="HeaderChar"/>
    <w:rsid w:val="00300A9E"/>
    <w:pPr>
      <w:tabs>
        <w:tab w:val="center" w:pos="4680"/>
        <w:tab w:val="right" w:pos="9360"/>
      </w:tabs>
    </w:pPr>
  </w:style>
  <w:style w:type="character" w:customStyle="1" w:styleId="HeaderChar">
    <w:name w:val="Header Char"/>
    <w:basedOn w:val="DefaultParagraphFont"/>
    <w:link w:val="Header"/>
    <w:locked/>
    <w:rsid w:val="00300A9E"/>
    <w:rPr>
      <w:rFonts w:cs="Times New Roman"/>
    </w:rPr>
  </w:style>
  <w:style w:type="paragraph" w:styleId="Footer">
    <w:name w:val="footer"/>
    <w:basedOn w:val="Normal"/>
    <w:link w:val="FooterChar"/>
    <w:uiPriority w:val="99"/>
    <w:rsid w:val="00300A9E"/>
    <w:pPr>
      <w:tabs>
        <w:tab w:val="center" w:pos="4680"/>
        <w:tab w:val="right" w:pos="9360"/>
      </w:tabs>
    </w:pPr>
  </w:style>
  <w:style w:type="character" w:customStyle="1" w:styleId="FooterChar">
    <w:name w:val="Footer Char"/>
    <w:basedOn w:val="DefaultParagraphFont"/>
    <w:link w:val="Footer"/>
    <w:uiPriority w:val="99"/>
    <w:locked/>
    <w:rsid w:val="00300A9E"/>
    <w:rPr>
      <w:rFonts w:cs="Times New Roman"/>
    </w:rPr>
  </w:style>
  <w:style w:type="paragraph" w:styleId="NoSpacing">
    <w:name w:val="No Spacing"/>
    <w:link w:val="NoSpacingChar"/>
    <w:qFormat/>
    <w:rsid w:val="002803C1"/>
    <w:rPr>
      <w:rFonts w:ascii="Calibri" w:hAnsi="Calibri"/>
      <w:sz w:val="22"/>
      <w:szCs w:val="22"/>
    </w:rPr>
  </w:style>
  <w:style w:type="character" w:customStyle="1" w:styleId="NoSpacingChar">
    <w:name w:val="No Spacing Char"/>
    <w:basedOn w:val="DefaultParagraphFont"/>
    <w:link w:val="NoSpacing"/>
    <w:locked/>
    <w:rsid w:val="002803C1"/>
    <w:rPr>
      <w:rFonts w:ascii="Calibri" w:hAnsi="Calibri" w:cs="Times New Roman"/>
      <w:sz w:val="22"/>
      <w:szCs w:val="22"/>
      <w:lang w:val="en-US" w:eastAsia="en-US" w:bidi="ar-SA"/>
    </w:rPr>
  </w:style>
  <w:style w:type="character" w:styleId="CommentReference">
    <w:name w:val="annotation reference"/>
    <w:basedOn w:val="DefaultParagraphFont"/>
    <w:semiHidden/>
    <w:rsid w:val="006C56DB"/>
    <w:rPr>
      <w:rFonts w:cs="Times New Roman"/>
      <w:sz w:val="16"/>
      <w:szCs w:val="16"/>
    </w:rPr>
  </w:style>
  <w:style w:type="paragraph" w:styleId="CommentText">
    <w:name w:val="annotation text"/>
    <w:basedOn w:val="Normal"/>
    <w:link w:val="CommentTextChar"/>
    <w:semiHidden/>
    <w:rsid w:val="006C56DB"/>
    <w:rPr>
      <w:sz w:val="20"/>
      <w:szCs w:val="20"/>
    </w:rPr>
  </w:style>
  <w:style w:type="character" w:customStyle="1" w:styleId="CommentTextChar">
    <w:name w:val="Comment Text Char"/>
    <w:basedOn w:val="DefaultParagraphFont"/>
    <w:link w:val="CommentText"/>
    <w:semiHidden/>
    <w:locked/>
    <w:rsid w:val="006C56DB"/>
    <w:rPr>
      <w:rFonts w:cs="Times New Roman"/>
      <w:sz w:val="20"/>
      <w:szCs w:val="20"/>
    </w:rPr>
  </w:style>
  <w:style w:type="paragraph" w:styleId="CommentSubject">
    <w:name w:val="annotation subject"/>
    <w:basedOn w:val="CommentText"/>
    <w:next w:val="CommentText"/>
    <w:link w:val="CommentSubjectChar"/>
    <w:semiHidden/>
    <w:rsid w:val="006C56DB"/>
    <w:rPr>
      <w:b/>
      <w:bCs/>
    </w:rPr>
  </w:style>
  <w:style w:type="character" w:customStyle="1" w:styleId="CommentSubjectChar">
    <w:name w:val="Comment Subject Char"/>
    <w:basedOn w:val="CommentTextChar"/>
    <w:link w:val="CommentSubject"/>
    <w:semiHidden/>
    <w:locked/>
    <w:rsid w:val="006C56DB"/>
    <w:rPr>
      <w:rFonts w:cs="Times New Roman"/>
      <w:b/>
      <w:bCs/>
      <w:sz w:val="20"/>
      <w:szCs w:val="20"/>
    </w:rPr>
  </w:style>
  <w:style w:type="character" w:styleId="Hyperlink">
    <w:name w:val="Hyperlink"/>
    <w:basedOn w:val="DefaultParagraphFont"/>
    <w:rsid w:val="00CC64A1"/>
    <w:rPr>
      <w:rFonts w:cs="Times New Roman"/>
      <w:color w:val="0000FF"/>
      <w:u w:val="single"/>
    </w:rPr>
  </w:style>
  <w:style w:type="table" w:styleId="TableGrid">
    <w:name w:val="Table Grid"/>
    <w:basedOn w:val="TableNormal"/>
    <w:rsid w:val="008727AF"/>
    <w:rPr>
      <w:rFonts w:eastAsia="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semiHidden/>
    <w:rsid w:val="001B47B0"/>
    <w:rPr>
      <w:sz w:val="20"/>
      <w:szCs w:val="20"/>
    </w:rPr>
  </w:style>
  <w:style w:type="character" w:customStyle="1" w:styleId="EndnoteTextChar">
    <w:name w:val="Endnote Text Char"/>
    <w:basedOn w:val="DefaultParagraphFont"/>
    <w:link w:val="EndnoteText"/>
    <w:semiHidden/>
    <w:locked/>
    <w:rsid w:val="001B47B0"/>
    <w:rPr>
      <w:rFonts w:cs="Times New Roman"/>
      <w:sz w:val="20"/>
      <w:szCs w:val="20"/>
    </w:rPr>
  </w:style>
  <w:style w:type="character" w:styleId="EndnoteReference">
    <w:name w:val="endnote reference"/>
    <w:basedOn w:val="DefaultParagraphFont"/>
    <w:semiHidden/>
    <w:rsid w:val="001B47B0"/>
    <w:rPr>
      <w:rFonts w:cs="Times New Roman"/>
      <w:vertAlign w:val="superscript"/>
    </w:rPr>
  </w:style>
  <w:style w:type="paragraph" w:styleId="NormalWeb">
    <w:name w:val="Normal (Web)"/>
    <w:basedOn w:val="Normal"/>
    <w:uiPriority w:val="99"/>
    <w:unhideWhenUsed/>
    <w:rsid w:val="000614B9"/>
    <w:pPr>
      <w:spacing w:before="100" w:beforeAutospacing="1" w:after="100" w:afterAutospacing="1"/>
    </w:pPr>
    <w:rPr>
      <w:rFonts w:ascii="Times New Roman" w:hAnsi="Times New Roman"/>
      <w:sz w:val="24"/>
      <w:szCs w:val="24"/>
      <w:lang w:eastAsia="en-GB"/>
    </w:rPr>
  </w:style>
  <w:style w:type="table" w:styleId="TableClassic1">
    <w:name w:val="Table Classic 1"/>
    <w:basedOn w:val="TableNormal"/>
    <w:rsid w:val="00DC1B4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CE5BB2"/>
    <w:rPr>
      <w:color w:val="800080" w:themeColor="followedHyperlink"/>
      <w:u w:val="single"/>
    </w:rPr>
  </w:style>
  <w:style w:type="character" w:customStyle="1" w:styleId="Heading3Char">
    <w:name w:val="Heading 3 Char"/>
    <w:basedOn w:val="DefaultParagraphFont"/>
    <w:link w:val="Heading3"/>
    <w:uiPriority w:val="9"/>
    <w:rsid w:val="000D2417"/>
    <w:rPr>
      <w:rFonts w:asciiTheme="minorHAnsi" w:eastAsiaTheme="majorEastAsia" w:hAnsiTheme="minorHAnsi" w:cstheme="majorBidi"/>
      <w:b/>
      <w:bCs/>
      <w:sz w:val="22"/>
      <w:szCs w:val="22"/>
      <w:u w:val="single"/>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7A82"/>
    <w:rPr>
      <w:rFonts w:eastAsia="Times New Roman"/>
      <w:sz w:val="22"/>
      <w:szCs w:val="22"/>
      <w:lang w:val="en-GB"/>
    </w:rPr>
  </w:style>
  <w:style w:type="paragraph" w:styleId="Heading3">
    <w:name w:val="heading 3"/>
    <w:basedOn w:val="Normal"/>
    <w:next w:val="Normal"/>
    <w:link w:val="Heading3Char"/>
    <w:uiPriority w:val="9"/>
    <w:unhideWhenUsed/>
    <w:qFormat/>
    <w:locked/>
    <w:rsid w:val="000D2417"/>
    <w:pPr>
      <w:keepNext/>
      <w:keepLines/>
      <w:spacing w:before="200" w:line="276" w:lineRule="auto"/>
      <w:outlineLvl w:val="2"/>
    </w:pPr>
    <w:rPr>
      <w:rFonts w:asciiTheme="minorHAnsi" w:eastAsiaTheme="majorEastAsia" w:hAnsiTheme="minorHAns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07C30"/>
    <w:rPr>
      <w:rFonts w:ascii="Tahoma" w:hAnsi="Tahoma" w:cs="Tahoma"/>
      <w:sz w:val="16"/>
      <w:szCs w:val="16"/>
    </w:rPr>
  </w:style>
  <w:style w:type="character" w:customStyle="1" w:styleId="BalloonTextChar">
    <w:name w:val="Balloon Text Char"/>
    <w:basedOn w:val="DefaultParagraphFont"/>
    <w:link w:val="BalloonText"/>
    <w:semiHidden/>
    <w:locked/>
    <w:rsid w:val="00C07C30"/>
    <w:rPr>
      <w:rFonts w:ascii="Tahoma" w:hAnsi="Tahoma" w:cs="Tahoma"/>
      <w:sz w:val="16"/>
      <w:szCs w:val="16"/>
    </w:rPr>
  </w:style>
  <w:style w:type="paragraph" w:styleId="ListParagraph">
    <w:name w:val="List Paragraph"/>
    <w:basedOn w:val="Normal"/>
    <w:qFormat/>
    <w:rsid w:val="001F4220"/>
    <w:pPr>
      <w:ind w:left="720"/>
    </w:pPr>
  </w:style>
  <w:style w:type="paragraph" w:styleId="FootnoteText">
    <w:name w:val="footnote text"/>
    <w:basedOn w:val="Normal"/>
    <w:link w:val="FootnoteTextChar"/>
    <w:semiHidden/>
    <w:rsid w:val="00D91C04"/>
    <w:rPr>
      <w:sz w:val="20"/>
      <w:szCs w:val="20"/>
    </w:rPr>
  </w:style>
  <w:style w:type="character" w:customStyle="1" w:styleId="FootnoteTextChar">
    <w:name w:val="Footnote Text Char"/>
    <w:basedOn w:val="DefaultParagraphFont"/>
    <w:link w:val="FootnoteText"/>
    <w:semiHidden/>
    <w:locked/>
    <w:rsid w:val="00D91C04"/>
    <w:rPr>
      <w:rFonts w:cs="Times New Roman"/>
      <w:sz w:val="20"/>
      <w:szCs w:val="20"/>
    </w:rPr>
  </w:style>
  <w:style w:type="character" w:styleId="FootnoteReference">
    <w:name w:val="footnote reference"/>
    <w:basedOn w:val="DefaultParagraphFont"/>
    <w:semiHidden/>
    <w:rsid w:val="00D91C04"/>
    <w:rPr>
      <w:rFonts w:cs="Times New Roman"/>
      <w:vertAlign w:val="superscript"/>
    </w:rPr>
  </w:style>
  <w:style w:type="paragraph" w:styleId="Header">
    <w:name w:val="header"/>
    <w:basedOn w:val="Normal"/>
    <w:link w:val="HeaderChar"/>
    <w:rsid w:val="00300A9E"/>
    <w:pPr>
      <w:tabs>
        <w:tab w:val="center" w:pos="4680"/>
        <w:tab w:val="right" w:pos="9360"/>
      </w:tabs>
    </w:pPr>
  </w:style>
  <w:style w:type="character" w:customStyle="1" w:styleId="HeaderChar">
    <w:name w:val="Header Char"/>
    <w:basedOn w:val="DefaultParagraphFont"/>
    <w:link w:val="Header"/>
    <w:locked/>
    <w:rsid w:val="00300A9E"/>
    <w:rPr>
      <w:rFonts w:cs="Times New Roman"/>
    </w:rPr>
  </w:style>
  <w:style w:type="paragraph" w:styleId="Footer">
    <w:name w:val="footer"/>
    <w:basedOn w:val="Normal"/>
    <w:link w:val="FooterChar"/>
    <w:uiPriority w:val="99"/>
    <w:rsid w:val="00300A9E"/>
    <w:pPr>
      <w:tabs>
        <w:tab w:val="center" w:pos="4680"/>
        <w:tab w:val="right" w:pos="9360"/>
      </w:tabs>
    </w:pPr>
  </w:style>
  <w:style w:type="character" w:customStyle="1" w:styleId="FooterChar">
    <w:name w:val="Footer Char"/>
    <w:basedOn w:val="DefaultParagraphFont"/>
    <w:link w:val="Footer"/>
    <w:uiPriority w:val="99"/>
    <w:locked/>
    <w:rsid w:val="00300A9E"/>
    <w:rPr>
      <w:rFonts w:cs="Times New Roman"/>
    </w:rPr>
  </w:style>
  <w:style w:type="paragraph" w:styleId="NoSpacing">
    <w:name w:val="No Spacing"/>
    <w:link w:val="NoSpacingChar"/>
    <w:qFormat/>
    <w:rsid w:val="002803C1"/>
    <w:rPr>
      <w:rFonts w:ascii="Calibri" w:hAnsi="Calibri"/>
      <w:sz w:val="22"/>
      <w:szCs w:val="22"/>
    </w:rPr>
  </w:style>
  <w:style w:type="character" w:customStyle="1" w:styleId="NoSpacingChar">
    <w:name w:val="No Spacing Char"/>
    <w:basedOn w:val="DefaultParagraphFont"/>
    <w:link w:val="NoSpacing"/>
    <w:locked/>
    <w:rsid w:val="002803C1"/>
    <w:rPr>
      <w:rFonts w:ascii="Calibri" w:hAnsi="Calibri" w:cs="Times New Roman"/>
      <w:sz w:val="22"/>
      <w:szCs w:val="22"/>
      <w:lang w:val="en-US" w:eastAsia="en-US" w:bidi="ar-SA"/>
    </w:rPr>
  </w:style>
  <w:style w:type="character" w:styleId="CommentReference">
    <w:name w:val="annotation reference"/>
    <w:basedOn w:val="DefaultParagraphFont"/>
    <w:semiHidden/>
    <w:rsid w:val="006C56DB"/>
    <w:rPr>
      <w:rFonts w:cs="Times New Roman"/>
      <w:sz w:val="16"/>
      <w:szCs w:val="16"/>
    </w:rPr>
  </w:style>
  <w:style w:type="paragraph" w:styleId="CommentText">
    <w:name w:val="annotation text"/>
    <w:basedOn w:val="Normal"/>
    <w:link w:val="CommentTextChar"/>
    <w:semiHidden/>
    <w:rsid w:val="006C56DB"/>
    <w:rPr>
      <w:sz w:val="20"/>
      <w:szCs w:val="20"/>
    </w:rPr>
  </w:style>
  <w:style w:type="character" w:customStyle="1" w:styleId="CommentTextChar">
    <w:name w:val="Comment Text Char"/>
    <w:basedOn w:val="DefaultParagraphFont"/>
    <w:link w:val="CommentText"/>
    <w:semiHidden/>
    <w:locked/>
    <w:rsid w:val="006C56DB"/>
    <w:rPr>
      <w:rFonts w:cs="Times New Roman"/>
      <w:sz w:val="20"/>
      <w:szCs w:val="20"/>
    </w:rPr>
  </w:style>
  <w:style w:type="paragraph" w:styleId="CommentSubject">
    <w:name w:val="annotation subject"/>
    <w:basedOn w:val="CommentText"/>
    <w:next w:val="CommentText"/>
    <w:link w:val="CommentSubjectChar"/>
    <w:semiHidden/>
    <w:rsid w:val="006C56DB"/>
    <w:rPr>
      <w:b/>
      <w:bCs/>
    </w:rPr>
  </w:style>
  <w:style w:type="character" w:customStyle="1" w:styleId="CommentSubjectChar">
    <w:name w:val="Comment Subject Char"/>
    <w:basedOn w:val="CommentTextChar"/>
    <w:link w:val="CommentSubject"/>
    <w:semiHidden/>
    <w:locked/>
    <w:rsid w:val="006C56DB"/>
    <w:rPr>
      <w:rFonts w:cs="Times New Roman"/>
      <w:b/>
      <w:bCs/>
      <w:sz w:val="20"/>
      <w:szCs w:val="20"/>
    </w:rPr>
  </w:style>
  <w:style w:type="character" w:styleId="Hyperlink">
    <w:name w:val="Hyperlink"/>
    <w:basedOn w:val="DefaultParagraphFont"/>
    <w:rsid w:val="00CC64A1"/>
    <w:rPr>
      <w:rFonts w:cs="Times New Roman"/>
      <w:color w:val="0000FF"/>
      <w:u w:val="single"/>
    </w:rPr>
  </w:style>
  <w:style w:type="table" w:styleId="TableGrid">
    <w:name w:val="Table Grid"/>
    <w:basedOn w:val="TableNormal"/>
    <w:rsid w:val="008727AF"/>
    <w:rPr>
      <w:rFonts w:eastAsia="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semiHidden/>
    <w:rsid w:val="001B47B0"/>
    <w:rPr>
      <w:sz w:val="20"/>
      <w:szCs w:val="20"/>
    </w:rPr>
  </w:style>
  <w:style w:type="character" w:customStyle="1" w:styleId="EndnoteTextChar">
    <w:name w:val="Endnote Text Char"/>
    <w:basedOn w:val="DefaultParagraphFont"/>
    <w:link w:val="EndnoteText"/>
    <w:semiHidden/>
    <w:locked/>
    <w:rsid w:val="001B47B0"/>
    <w:rPr>
      <w:rFonts w:cs="Times New Roman"/>
      <w:sz w:val="20"/>
      <w:szCs w:val="20"/>
    </w:rPr>
  </w:style>
  <w:style w:type="character" w:styleId="EndnoteReference">
    <w:name w:val="endnote reference"/>
    <w:basedOn w:val="DefaultParagraphFont"/>
    <w:semiHidden/>
    <w:rsid w:val="001B47B0"/>
    <w:rPr>
      <w:rFonts w:cs="Times New Roman"/>
      <w:vertAlign w:val="superscript"/>
    </w:rPr>
  </w:style>
  <w:style w:type="paragraph" w:styleId="NormalWeb">
    <w:name w:val="Normal (Web)"/>
    <w:basedOn w:val="Normal"/>
    <w:uiPriority w:val="99"/>
    <w:unhideWhenUsed/>
    <w:rsid w:val="000614B9"/>
    <w:pPr>
      <w:spacing w:before="100" w:beforeAutospacing="1" w:after="100" w:afterAutospacing="1"/>
    </w:pPr>
    <w:rPr>
      <w:rFonts w:ascii="Times New Roman" w:hAnsi="Times New Roman"/>
      <w:sz w:val="24"/>
      <w:szCs w:val="24"/>
      <w:lang w:eastAsia="en-GB"/>
    </w:rPr>
  </w:style>
  <w:style w:type="table" w:styleId="TableClassic1">
    <w:name w:val="Table Classic 1"/>
    <w:basedOn w:val="TableNormal"/>
    <w:rsid w:val="00DC1B4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CE5BB2"/>
    <w:rPr>
      <w:color w:val="800080" w:themeColor="followedHyperlink"/>
      <w:u w:val="single"/>
    </w:rPr>
  </w:style>
  <w:style w:type="character" w:customStyle="1" w:styleId="Heading3Char">
    <w:name w:val="Heading 3 Char"/>
    <w:basedOn w:val="DefaultParagraphFont"/>
    <w:link w:val="Heading3"/>
    <w:uiPriority w:val="9"/>
    <w:rsid w:val="000D2417"/>
    <w:rPr>
      <w:rFonts w:asciiTheme="minorHAnsi" w:eastAsiaTheme="majorEastAsia" w:hAnsiTheme="minorHAnsi" w:cstheme="majorBidi"/>
      <w:b/>
      <w:bCs/>
      <w:sz w:val="22"/>
      <w:szCs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404493043">
      <w:bodyDiv w:val="1"/>
      <w:marLeft w:val="0"/>
      <w:marRight w:val="0"/>
      <w:marTop w:val="0"/>
      <w:marBottom w:val="0"/>
      <w:divBdr>
        <w:top w:val="none" w:sz="0" w:space="0" w:color="auto"/>
        <w:left w:val="none" w:sz="0" w:space="0" w:color="auto"/>
        <w:bottom w:val="none" w:sz="0" w:space="0" w:color="auto"/>
        <w:right w:val="none" w:sz="0" w:space="0" w:color="auto"/>
      </w:divBdr>
    </w:div>
    <w:div w:id="893471943">
      <w:bodyDiv w:val="1"/>
      <w:marLeft w:val="0"/>
      <w:marRight w:val="0"/>
      <w:marTop w:val="0"/>
      <w:marBottom w:val="0"/>
      <w:divBdr>
        <w:top w:val="none" w:sz="0" w:space="0" w:color="auto"/>
        <w:left w:val="none" w:sz="0" w:space="0" w:color="auto"/>
        <w:bottom w:val="none" w:sz="0" w:space="0" w:color="auto"/>
        <w:right w:val="none" w:sz="0" w:space="0" w:color="auto"/>
      </w:divBdr>
    </w:div>
    <w:div w:id="953288061">
      <w:bodyDiv w:val="1"/>
      <w:marLeft w:val="0"/>
      <w:marRight w:val="0"/>
      <w:marTop w:val="0"/>
      <w:marBottom w:val="0"/>
      <w:divBdr>
        <w:top w:val="none" w:sz="0" w:space="0" w:color="auto"/>
        <w:left w:val="none" w:sz="0" w:space="0" w:color="auto"/>
        <w:bottom w:val="none" w:sz="0" w:space="0" w:color="auto"/>
        <w:right w:val="none" w:sz="0" w:space="0" w:color="auto"/>
      </w:divBdr>
    </w:div>
    <w:div w:id="1142111777">
      <w:bodyDiv w:val="1"/>
      <w:marLeft w:val="0"/>
      <w:marRight w:val="0"/>
      <w:marTop w:val="0"/>
      <w:marBottom w:val="0"/>
      <w:divBdr>
        <w:top w:val="none" w:sz="0" w:space="0" w:color="auto"/>
        <w:left w:val="none" w:sz="0" w:space="0" w:color="auto"/>
        <w:bottom w:val="none" w:sz="0" w:space="0" w:color="auto"/>
        <w:right w:val="none" w:sz="0" w:space="0" w:color="auto"/>
      </w:divBdr>
    </w:div>
    <w:div w:id="1324700693">
      <w:bodyDiv w:val="1"/>
      <w:marLeft w:val="0"/>
      <w:marRight w:val="0"/>
      <w:marTop w:val="0"/>
      <w:marBottom w:val="0"/>
      <w:divBdr>
        <w:top w:val="none" w:sz="0" w:space="0" w:color="auto"/>
        <w:left w:val="none" w:sz="0" w:space="0" w:color="auto"/>
        <w:bottom w:val="none" w:sz="0" w:space="0" w:color="auto"/>
        <w:right w:val="none" w:sz="0" w:space="0" w:color="auto"/>
      </w:divBdr>
      <w:divsChild>
        <w:div w:id="934289736">
          <w:marLeft w:val="0"/>
          <w:marRight w:val="0"/>
          <w:marTop w:val="0"/>
          <w:marBottom w:val="0"/>
          <w:divBdr>
            <w:top w:val="none" w:sz="0" w:space="0" w:color="auto"/>
            <w:left w:val="none" w:sz="0" w:space="0" w:color="auto"/>
            <w:bottom w:val="none" w:sz="0" w:space="0" w:color="auto"/>
            <w:right w:val="none" w:sz="0" w:space="0" w:color="auto"/>
          </w:divBdr>
          <w:divsChild>
            <w:div w:id="1508204222">
              <w:marLeft w:val="0"/>
              <w:marRight w:val="0"/>
              <w:marTop w:val="0"/>
              <w:marBottom w:val="0"/>
              <w:divBdr>
                <w:top w:val="none" w:sz="0" w:space="0" w:color="auto"/>
                <w:left w:val="none" w:sz="0" w:space="0" w:color="auto"/>
                <w:bottom w:val="none" w:sz="0" w:space="0" w:color="auto"/>
                <w:right w:val="none" w:sz="0" w:space="0" w:color="auto"/>
              </w:divBdr>
              <w:divsChild>
                <w:div w:id="2014338404">
                  <w:marLeft w:val="0"/>
                  <w:marRight w:val="0"/>
                  <w:marTop w:val="0"/>
                  <w:marBottom w:val="0"/>
                  <w:divBdr>
                    <w:top w:val="none" w:sz="0" w:space="0" w:color="auto"/>
                    <w:left w:val="none" w:sz="0" w:space="0" w:color="auto"/>
                    <w:bottom w:val="none" w:sz="0" w:space="0" w:color="auto"/>
                    <w:right w:val="none" w:sz="0" w:space="0" w:color="auto"/>
                  </w:divBdr>
                  <w:divsChild>
                    <w:div w:id="1814981406">
                      <w:marLeft w:val="0"/>
                      <w:marRight w:val="0"/>
                      <w:marTop w:val="0"/>
                      <w:marBottom w:val="0"/>
                      <w:divBdr>
                        <w:top w:val="none" w:sz="0" w:space="0" w:color="auto"/>
                        <w:left w:val="none" w:sz="0" w:space="0" w:color="auto"/>
                        <w:bottom w:val="none" w:sz="0" w:space="0" w:color="auto"/>
                        <w:right w:val="none" w:sz="0" w:space="0" w:color="auto"/>
                      </w:divBdr>
                      <w:divsChild>
                        <w:div w:id="1162962393">
                          <w:marLeft w:val="0"/>
                          <w:marRight w:val="0"/>
                          <w:marTop w:val="0"/>
                          <w:marBottom w:val="0"/>
                          <w:divBdr>
                            <w:top w:val="none" w:sz="0" w:space="0" w:color="auto"/>
                            <w:left w:val="none" w:sz="0" w:space="0" w:color="auto"/>
                            <w:bottom w:val="none" w:sz="0" w:space="0" w:color="auto"/>
                            <w:right w:val="none" w:sz="0" w:space="0" w:color="auto"/>
                          </w:divBdr>
                          <w:divsChild>
                            <w:div w:id="19681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0920">
      <w:bodyDiv w:val="1"/>
      <w:marLeft w:val="0"/>
      <w:marRight w:val="0"/>
      <w:marTop w:val="0"/>
      <w:marBottom w:val="0"/>
      <w:divBdr>
        <w:top w:val="none" w:sz="0" w:space="0" w:color="auto"/>
        <w:left w:val="none" w:sz="0" w:space="0" w:color="auto"/>
        <w:bottom w:val="none" w:sz="0" w:space="0" w:color="auto"/>
        <w:right w:val="none" w:sz="0" w:space="0" w:color="auto"/>
      </w:divBdr>
    </w:div>
    <w:div w:id="19807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smokefreewestsussex.co.uk/" TargetMode="External"/><Relationship Id="rId2" Type="http://schemas.openxmlformats.org/officeDocument/2006/relationships/numbering" Target="numbering.xml"/><Relationship Id="rId16" Type="http://schemas.openxmlformats.org/officeDocument/2006/relationships/hyperlink" Target="https://www.understandingsociety.ac.uk/2015/01/28/towns-in-england-smoking-r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ons.gov.uk/ons/dcp171778_386291.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www.ons.gov.uk/ons/guide-method/method-quality/specific/social-and-welfare-methodology/integrated-household-survey/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yphon\groups2.bu\Public%20Health%20Directorate\PH%20Research%20Unit\Bereavement\Data%20briefing%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oleObject" Target="file:///\\typhon\groups2.bu\Public%20Health%20Directorate\PH%20Research%20Unit\Smoking\Smoking%20Prevalence%20briefing%202014\Smoking%20prevalence%20briefing%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GB" sz="1200"/>
              <a:t>Figure 1 </a:t>
            </a:r>
            <a:r>
              <a:rPr lang="en-GB" sz="1200" b="0"/>
              <a:t>Smoking prevalence (Jan-Dec</a:t>
            </a:r>
            <a:r>
              <a:rPr lang="en-GB" sz="1200" b="0" baseline="0"/>
              <a:t> 2013) for West Sussex, South East region and England</a:t>
            </a:r>
            <a:endParaRPr lang="en-GB" sz="1200" b="0"/>
          </a:p>
        </c:rich>
      </c:tx>
      <c:overlay val="0"/>
    </c:title>
    <c:autoTitleDeleted val="0"/>
    <c:plotArea>
      <c:layout>
        <c:manualLayout>
          <c:layoutTarget val="inner"/>
          <c:xMode val="edge"/>
          <c:yMode val="edge"/>
          <c:x val="0.15065082136545427"/>
          <c:y val="0.22779798079921362"/>
          <c:w val="0.81080737407517278"/>
          <c:h val="0.49483676853532571"/>
        </c:manualLayout>
      </c:layout>
      <c:barChart>
        <c:barDir val="col"/>
        <c:grouping val="clustered"/>
        <c:varyColors val="0"/>
        <c:ser>
          <c:idx val="0"/>
          <c:order val="0"/>
          <c:tx>
            <c:strRef>
              <c:f>Sheet2!$D$9</c:f>
              <c:strCache>
                <c:ptCount val="1"/>
                <c:pt idx="0">
                  <c:v>current cigarette smoker</c:v>
                </c:pt>
              </c:strCache>
            </c:strRef>
          </c:tx>
          <c:spPr>
            <a:ln>
              <a:solidFill>
                <a:sysClr val="windowText" lastClr="000000"/>
              </a:solidFill>
            </a:ln>
          </c:spPr>
          <c:invertIfNegative val="0"/>
          <c:cat>
            <c:strRef>
              <c:f>Sheet2!$C$10:$C$12</c:f>
              <c:strCache>
                <c:ptCount val="3"/>
                <c:pt idx="0">
                  <c:v>West Sussex</c:v>
                </c:pt>
                <c:pt idx="1">
                  <c:v>South East Region</c:v>
                </c:pt>
                <c:pt idx="2">
                  <c:v>England</c:v>
                </c:pt>
              </c:strCache>
            </c:strRef>
          </c:cat>
          <c:val>
            <c:numRef>
              <c:f>Sheet2!$D$10:$D$12</c:f>
              <c:numCache>
                <c:formatCode>0.0%</c:formatCode>
                <c:ptCount val="3"/>
                <c:pt idx="0">
                  <c:v>0.17210267395087694</c:v>
                </c:pt>
                <c:pt idx="1">
                  <c:v>0.17199999999999999</c:v>
                </c:pt>
                <c:pt idx="2">
                  <c:v>0.184</c:v>
                </c:pt>
              </c:numCache>
            </c:numRef>
          </c:val>
        </c:ser>
        <c:ser>
          <c:idx val="1"/>
          <c:order val="1"/>
          <c:tx>
            <c:strRef>
              <c:f>Sheet2!$E$9</c:f>
              <c:strCache>
                <c:ptCount val="1"/>
                <c:pt idx="0">
                  <c:v>ex-smoker</c:v>
                </c:pt>
              </c:strCache>
            </c:strRef>
          </c:tx>
          <c:spPr>
            <a:ln>
              <a:solidFill>
                <a:sysClr val="windowText" lastClr="000000"/>
              </a:solidFill>
            </a:ln>
          </c:spPr>
          <c:invertIfNegative val="0"/>
          <c:cat>
            <c:strRef>
              <c:f>Sheet2!$C$10:$C$12</c:f>
              <c:strCache>
                <c:ptCount val="3"/>
                <c:pt idx="0">
                  <c:v>West Sussex</c:v>
                </c:pt>
                <c:pt idx="1">
                  <c:v>South East Region</c:v>
                </c:pt>
                <c:pt idx="2">
                  <c:v>England</c:v>
                </c:pt>
              </c:strCache>
            </c:strRef>
          </c:cat>
          <c:val>
            <c:numRef>
              <c:f>Sheet2!$E$10:$E$12</c:f>
              <c:numCache>
                <c:formatCode>0.0%</c:formatCode>
                <c:ptCount val="3"/>
                <c:pt idx="0">
                  <c:v>0.39787279451773444</c:v>
                </c:pt>
                <c:pt idx="1">
                  <c:v>0.36499999999999999</c:v>
                </c:pt>
                <c:pt idx="2">
                  <c:v>0.33445401641088324</c:v>
                </c:pt>
              </c:numCache>
            </c:numRef>
          </c:val>
        </c:ser>
        <c:ser>
          <c:idx val="2"/>
          <c:order val="2"/>
          <c:tx>
            <c:strRef>
              <c:f>Sheet2!$F$9</c:f>
              <c:strCache>
                <c:ptCount val="1"/>
                <c:pt idx="0">
                  <c:v>never smoked</c:v>
                </c:pt>
              </c:strCache>
            </c:strRef>
          </c:tx>
          <c:spPr>
            <a:ln>
              <a:solidFill>
                <a:sysClr val="windowText" lastClr="000000"/>
              </a:solidFill>
            </a:ln>
          </c:spPr>
          <c:invertIfNegative val="0"/>
          <c:cat>
            <c:strRef>
              <c:f>Sheet2!$C$10:$C$12</c:f>
              <c:strCache>
                <c:ptCount val="3"/>
                <c:pt idx="0">
                  <c:v>West Sussex</c:v>
                </c:pt>
                <c:pt idx="1">
                  <c:v>South East Region</c:v>
                </c:pt>
                <c:pt idx="2">
                  <c:v>England</c:v>
                </c:pt>
              </c:strCache>
            </c:strRef>
          </c:cat>
          <c:val>
            <c:numRef>
              <c:f>Sheet2!$F$10:$F$12</c:f>
              <c:numCache>
                <c:formatCode>0.0%</c:formatCode>
                <c:ptCount val="3"/>
                <c:pt idx="0">
                  <c:v>0.43002453153138864</c:v>
                </c:pt>
                <c:pt idx="1">
                  <c:v>0.46300000000000002</c:v>
                </c:pt>
                <c:pt idx="2">
                  <c:v>0.48105022767312472</c:v>
                </c:pt>
              </c:numCache>
            </c:numRef>
          </c:val>
        </c:ser>
        <c:dLbls>
          <c:showLegendKey val="0"/>
          <c:showVal val="0"/>
          <c:showCatName val="0"/>
          <c:showSerName val="0"/>
          <c:showPercent val="0"/>
          <c:showBubbleSize val="0"/>
        </c:dLbls>
        <c:gapWidth val="150"/>
        <c:axId val="120881920"/>
        <c:axId val="128815104"/>
      </c:barChart>
      <c:catAx>
        <c:axId val="120881920"/>
        <c:scaling>
          <c:orientation val="minMax"/>
        </c:scaling>
        <c:delete val="0"/>
        <c:axPos val="b"/>
        <c:majorTickMark val="out"/>
        <c:minorTickMark val="none"/>
        <c:tickLblPos val="nextTo"/>
        <c:crossAx val="128815104"/>
        <c:crosses val="autoZero"/>
        <c:auto val="1"/>
        <c:lblAlgn val="ctr"/>
        <c:lblOffset val="100"/>
        <c:noMultiLvlLbl val="0"/>
      </c:catAx>
      <c:valAx>
        <c:axId val="128815104"/>
        <c:scaling>
          <c:orientation val="minMax"/>
        </c:scaling>
        <c:delete val="0"/>
        <c:axPos val="l"/>
        <c:majorGridlines>
          <c:spPr>
            <a:ln>
              <a:solidFill>
                <a:schemeClr val="bg1">
                  <a:lumMod val="85000"/>
                </a:schemeClr>
              </a:solidFill>
            </a:ln>
          </c:spPr>
        </c:majorGridlines>
        <c:title>
          <c:tx>
            <c:rich>
              <a:bodyPr rot="-5400000" vert="horz"/>
              <a:lstStyle/>
              <a:p>
                <a:pPr>
                  <a:defRPr/>
                </a:pPr>
                <a:r>
                  <a:rPr lang="en-GB"/>
                  <a:t>Percentage of respondents</a:t>
                </a:r>
              </a:p>
            </c:rich>
          </c:tx>
          <c:layout>
            <c:manualLayout>
              <c:xMode val="edge"/>
              <c:yMode val="edge"/>
              <c:x val="3.7088749597796157E-2"/>
              <c:y val="0.19108148460199359"/>
            </c:manualLayout>
          </c:layout>
          <c:overlay val="0"/>
        </c:title>
        <c:numFmt formatCode="0%" sourceLinked="0"/>
        <c:majorTickMark val="out"/>
        <c:minorTickMark val="none"/>
        <c:tickLblPos val="nextTo"/>
        <c:spPr>
          <a:ln>
            <a:solidFill>
              <a:schemeClr val="bg1">
                <a:lumMod val="85000"/>
              </a:schemeClr>
            </a:solidFill>
          </a:ln>
        </c:spPr>
        <c:crossAx val="120881920"/>
        <c:crosses val="autoZero"/>
        <c:crossBetween val="between"/>
      </c:valAx>
    </c:plotArea>
    <c:legend>
      <c:legendPos val="r"/>
      <c:layout>
        <c:manualLayout>
          <c:xMode val="edge"/>
          <c:yMode val="edge"/>
          <c:x val="0.10098318789093744"/>
          <c:y val="0.8582247636039988"/>
          <c:w val="0.82225088408738667"/>
          <c:h val="8.9332334899059812E-2"/>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GB" sz="1100"/>
              <a:t>Figure 2 </a:t>
            </a:r>
            <a:r>
              <a:rPr lang="en-GB" sz="1100" b="0"/>
              <a:t>Prevalence of current smoking (adults age 18+)</a:t>
            </a:r>
            <a:r>
              <a:rPr lang="en-GB" sz="1100" b="0" baseline="0"/>
              <a:t> for West Sussex, South East region and England.</a:t>
            </a:r>
            <a:endParaRPr lang="en-GB" sz="1100"/>
          </a:p>
        </c:rich>
      </c:tx>
      <c:overlay val="0"/>
    </c:title>
    <c:autoTitleDeleted val="0"/>
    <c:plotArea>
      <c:layout>
        <c:manualLayout>
          <c:layoutTarget val="inner"/>
          <c:xMode val="edge"/>
          <c:yMode val="edge"/>
          <c:x val="0.16112355416249485"/>
          <c:y val="0.1807209640002812"/>
          <c:w val="0.74237249781483605"/>
          <c:h val="0.48313766799216978"/>
        </c:manualLayout>
      </c:layout>
      <c:lineChart>
        <c:grouping val="standard"/>
        <c:varyColors val="0"/>
        <c:ser>
          <c:idx val="0"/>
          <c:order val="0"/>
          <c:tx>
            <c:strRef>
              <c:f>'West Sussex County'!$C$4</c:f>
              <c:strCache>
                <c:ptCount val="1"/>
                <c:pt idx="0">
                  <c:v>West Sussex</c:v>
                </c:pt>
              </c:strCache>
            </c:strRef>
          </c:tx>
          <c:spPr>
            <a:ln>
              <a:solidFill>
                <a:schemeClr val="accent6">
                  <a:lumMod val="75000"/>
                </a:schemeClr>
              </a:solidFill>
            </a:ln>
          </c:spPr>
          <c:marker>
            <c:symbol val="none"/>
          </c:marker>
          <c:cat>
            <c:numRef>
              <c:f>'West Sussex County'!$D$3:$G$3</c:f>
              <c:numCache>
                <c:formatCode>General</c:formatCode>
                <c:ptCount val="4"/>
                <c:pt idx="0">
                  <c:v>2010</c:v>
                </c:pt>
                <c:pt idx="1">
                  <c:v>2011</c:v>
                </c:pt>
                <c:pt idx="2">
                  <c:v>2012</c:v>
                </c:pt>
                <c:pt idx="3">
                  <c:v>2013</c:v>
                </c:pt>
              </c:numCache>
            </c:numRef>
          </c:cat>
          <c:val>
            <c:numRef>
              <c:f>'West Sussex County'!$D$4:$G$4</c:f>
              <c:numCache>
                <c:formatCode>0.0%</c:formatCode>
                <c:ptCount val="4"/>
                <c:pt idx="0">
                  <c:v>0.19609918427853101</c:v>
                </c:pt>
                <c:pt idx="1">
                  <c:v>0.17774818363776801</c:v>
                </c:pt>
                <c:pt idx="2">
                  <c:v>0.19062221070513399</c:v>
                </c:pt>
                <c:pt idx="3">
                  <c:v>0.172102673950877</c:v>
                </c:pt>
              </c:numCache>
            </c:numRef>
          </c:val>
          <c:smooth val="0"/>
        </c:ser>
        <c:ser>
          <c:idx val="1"/>
          <c:order val="1"/>
          <c:tx>
            <c:strRef>
              <c:f>'West Sussex County'!$C$5</c:f>
              <c:strCache>
                <c:ptCount val="1"/>
                <c:pt idx="0">
                  <c:v>South East</c:v>
                </c:pt>
              </c:strCache>
            </c:strRef>
          </c:tx>
          <c:spPr>
            <a:ln>
              <a:solidFill>
                <a:schemeClr val="bg1">
                  <a:lumMod val="65000"/>
                </a:schemeClr>
              </a:solidFill>
            </a:ln>
          </c:spPr>
          <c:marker>
            <c:symbol val="none"/>
          </c:marker>
          <c:cat>
            <c:numRef>
              <c:f>'West Sussex County'!$D$3:$G$3</c:f>
              <c:numCache>
                <c:formatCode>General</c:formatCode>
                <c:ptCount val="4"/>
                <c:pt idx="0">
                  <c:v>2010</c:v>
                </c:pt>
                <c:pt idx="1">
                  <c:v>2011</c:v>
                </c:pt>
                <c:pt idx="2">
                  <c:v>2012</c:v>
                </c:pt>
                <c:pt idx="3">
                  <c:v>2013</c:v>
                </c:pt>
              </c:numCache>
            </c:numRef>
          </c:cat>
          <c:val>
            <c:numRef>
              <c:f>'West Sussex County'!$D$5:$G$5</c:f>
              <c:numCache>
                <c:formatCode>0.0%</c:formatCode>
                <c:ptCount val="4"/>
                <c:pt idx="0">
                  <c:v>0.19414756483258799</c:v>
                </c:pt>
                <c:pt idx="1">
                  <c:v>0.18661508300911001</c:v>
                </c:pt>
                <c:pt idx="2">
                  <c:v>0.180220040364207</c:v>
                </c:pt>
                <c:pt idx="3">
                  <c:v>0.17242804548235199</c:v>
                </c:pt>
              </c:numCache>
            </c:numRef>
          </c:val>
          <c:smooth val="0"/>
        </c:ser>
        <c:ser>
          <c:idx val="2"/>
          <c:order val="2"/>
          <c:tx>
            <c:strRef>
              <c:f>'West Sussex County'!$C$6</c:f>
              <c:strCache>
                <c:ptCount val="1"/>
                <c:pt idx="0">
                  <c:v>England</c:v>
                </c:pt>
              </c:strCache>
            </c:strRef>
          </c:tx>
          <c:spPr>
            <a:ln>
              <a:solidFill>
                <a:schemeClr val="tx1">
                  <a:lumMod val="65000"/>
                  <a:lumOff val="35000"/>
                </a:schemeClr>
              </a:solidFill>
            </a:ln>
          </c:spPr>
          <c:marker>
            <c:symbol val="none"/>
          </c:marker>
          <c:cat>
            <c:numRef>
              <c:f>'West Sussex County'!$D$3:$G$3</c:f>
              <c:numCache>
                <c:formatCode>General</c:formatCode>
                <c:ptCount val="4"/>
                <c:pt idx="0">
                  <c:v>2010</c:v>
                </c:pt>
                <c:pt idx="1">
                  <c:v>2011</c:v>
                </c:pt>
                <c:pt idx="2">
                  <c:v>2012</c:v>
                </c:pt>
                <c:pt idx="3">
                  <c:v>2013</c:v>
                </c:pt>
              </c:numCache>
            </c:numRef>
          </c:cat>
          <c:val>
            <c:numRef>
              <c:f>'West Sussex County'!$D$6:$G$6</c:f>
              <c:numCache>
                <c:formatCode>0.0%</c:formatCode>
                <c:ptCount val="4"/>
                <c:pt idx="0">
                  <c:v>0.20792421195463301</c:v>
                </c:pt>
                <c:pt idx="1">
                  <c:v>0.202146699034331</c:v>
                </c:pt>
                <c:pt idx="2">
                  <c:v>0.19534322865904599</c:v>
                </c:pt>
                <c:pt idx="3">
                  <c:v>0.18449575591599199</c:v>
                </c:pt>
              </c:numCache>
            </c:numRef>
          </c:val>
          <c:smooth val="0"/>
        </c:ser>
        <c:dLbls>
          <c:showLegendKey val="0"/>
          <c:showVal val="0"/>
          <c:showCatName val="0"/>
          <c:showSerName val="0"/>
          <c:showPercent val="0"/>
          <c:showBubbleSize val="0"/>
        </c:dLbls>
        <c:marker val="1"/>
        <c:smooth val="0"/>
        <c:axId val="94358912"/>
        <c:axId val="94361088"/>
      </c:lineChart>
      <c:catAx>
        <c:axId val="94358912"/>
        <c:scaling>
          <c:orientation val="minMax"/>
        </c:scaling>
        <c:delete val="0"/>
        <c:axPos val="b"/>
        <c:title>
          <c:tx>
            <c:rich>
              <a:bodyPr/>
              <a:lstStyle/>
              <a:p>
                <a:pPr>
                  <a:defRPr/>
                </a:pPr>
                <a:r>
                  <a:rPr lang="en-GB"/>
                  <a:t>Year</a:t>
                </a:r>
              </a:p>
            </c:rich>
          </c:tx>
          <c:overlay val="0"/>
        </c:title>
        <c:numFmt formatCode="General" sourceLinked="1"/>
        <c:majorTickMark val="out"/>
        <c:minorTickMark val="none"/>
        <c:tickLblPos val="nextTo"/>
        <c:crossAx val="94361088"/>
        <c:crosses val="autoZero"/>
        <c:auto val="1"/>
        <c:lblAlgn val="ctr"/>
        <c:lblOffset val="100"/>
        <c:noMultiLvlLbl val="0"/>
      </c:catAx>
      <c:valAx>
        <c:axId val="94361088"/>
        <c:scaling>
          <c:orientation val="minMax"/>
          <c:max val="0.25"/>
          <c:min val="0"/>
        </c:scaling>
        <c:delete val="0"/>
        <c:axPos val="l"/>
        <c:majorGridlines>
          <c:spPr>
            <a:ln>
              <a:solidFill>
                <a:schemeClr val="bg1">
                  <a:lumMod val="85000"/>
                </a:schemeClr>
              </a:solidFill>
            </a:ln>
          </c:spPr>
        </c:majorGridlines>
        <c:title>
          <c:tx>
            <c:rich>
              <a:bodyPr rot="-5400000" vert="horz"/>
              <a:lstStyle/>
              <a:p>
                <a:pPr>
                  <a:defRPr/>
                </a:pPr>
                <a:r>
                  <a:rPr lang="en-GB"/>
                  <a:t>Prevalence of current smoking</a:t>
                </a:r>
              </a:p>
            </c:rich>
          </c:tx>
          <c:layout>
            <c:manualLayout>
              <c:xMode val="edge"/>
              <c:yMode val="edge"/>
              <c:x val="4.0451900716906193E-2"/>
              <c:y val="0.14054221337562817"/>
            </c:manualLayout>
          </c:layout>
          <c:overlay val="0"/>
        </c:title>
        <c:numFmt formatCode="0%" sourceLinked="0"/>
        <c:majorTickMark val="out"/>
        <c:minorTickMark val="none"/>
        <c:tickLblPos val="nextTo"/>
        <c:crossAx val="94358912"/>
        <c:crosses val="autoZero"/>
        <c:crossBetween val="midCat"/>
      </c:valAx>
    </c:plotArea>
    <c:legend>
      <c:legendPos val="r"/>
      <c:layout>
        <c:manualLayout>
          <c:xMode val="edge"/>
          <c:yMode val="edge"/>
          <c:x val="9.4209355952279764E-2"/>
          <c:y val="0.83237914658660983"/>
          <c:w val="0.86857220414083558"/>
          <c:h val="0.12943566748341029"/>
        </c:manualLayout>
      </c:layout>
      <c:overlay val="0"/>
      <c:spPr>
        <a:ln>
          <a:noFill/>
        </a:ln>
      </c:spPr>
    </c:legend>
    <c:plotVisOnly val="1"/>
    <c:dispBlanksAs val="gap"/>
    <c:showDLblsOverMax val="0"/>
  </c:chart>
  <c:spPr>
    <a:ln>
      <a:solidFill>
        <a:schemeClr val="bg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GB" sz="1200"/>
              <a:t>Figure 3</a:t>
            </a:r>
            <a:r>
              <a:rPr lang="en-GB" sz="1200" baseline="0"/>
              <a:t> </a:t>
            </a:r>
            <a:r>
              <a:rPr lang="en-GB" sz="1200" b="0" baseline="0"/>
              <a:t>Prevalence of current smoking among adults (age 18+) for local authorities in West Sussex</a:t>
            </a:r>
            <a:endParaRPr lang="en-GB" sz="1200" b="0"/>
          </a:p>
        </c:rich>
      </c:tx>
      <c:overlay val="0"/>
    </c:title>
    <c:autoTitleDeleted val="0"/>
    <c:plotArea>
      <c:layout>
        <c:manualLayout>
          <c:layoutTarget val="inner"/>
          <c:xMode val="edge"/>
          <c:yMode val="edge"/>
          <c:x val="0.10476960704163583"/>
          <c:y val="0.1391227074712969"/>
          <c:w val="0.87856482420711912"/>
          <c:h val="0.63821780244042237"/>
        </c:manualLayout>
      </c:layout>
      <c:barChart>
        <c:barDir val="col"/>
        <c:grouping val="clustered"/>
        <c:varyColors val="0"/>
        <c:ser>
          <c:idx val="0"/>
          <c:order val="0"/>
          <c:tx>
            <c:strRef>
              <c:f>Sheet1!$C$2</c:f>
              <c:strCache>
                <c:ptCount val="1"/>
                <c:pt idx="0">
                  <c:v>2010</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2"/>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6"/>
            <c:invertIfNegative val="0"/>
            <c:bubble3D val="0"/>
            <c:spPr>
              <a:solidFill>
                <a:schemeClr val="accent3"/>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dLbls>
            <c:txPr>
              <a:bodyPr rot="-5400000" vert="horz"/>
              <a:lstStyle/>
              <a:p>
                <a:pPr>
                  <a:defRPr sz="900"/>
                </a:pPr>
                <a:endParaRPr lang="en-US"/>
              </a:p>
            </c:txPr>
            <c:dLblPos val="inBase"/>
            <c:showLegendKey val="0"/>
            <c:showVal val="0"/>
            <c:showCatName val="0"/>
            <c:showSerName val="1"/>
            <c:showPercent val="0"/>
            <c:showBubbleSize val="0"/>
            <c:showLeaderLines val="0"/>
          </c:dLbls>
          <c:errBars>
            <c:errBarType val="both"/>
            <c:errValType val="cust"/>
            <c:noEndCap val="0"/>
            <c:plus>
              <c:numRef>
                <c:f>Sheet1!$E$3:$E$13</c:f>
                <c:numCache>
                  <c:formatCode>General</c:formatCode>
                  <c:ptCount val="11"/>
                  <c:pt idx="0">
                    <c:v>5.7556160223320003E-2</c:v>
                  </c:pt>
                  <c:pt idx="1">
                    <c:v>3.6208281395705998E-2</c:v>
                  </c:pt>
                  <c:pt idx="2">
                    <c:v>4.3047223140088998E-2</c:v>
                  </c:pt>
                  <c:pt idx="3">
                    <c:v>5.3169595993451002E-2</c:v>
                  </c:pt>
                  <c:pt idx="4">
                    <c:v>3.3497200781693E-2</c:v>
                  </c:pt>
                  <c:pt idx="5">
                    <c:v>3.2773269970195001E-2</c:v>
                  </c:pt>
                  <c:pt idx="6">
                    <c:v>4.4412769337237E-2</c:v>
                  </c:pt>
                  <c:pt idx="8">
                    <c:v>1.5789974992274001E-2</c:v>
                  </c:pt>
                  <c:pt idx="9">
                    <c:v>4.0689703971260004E-3</c:v>
                  </c:pt>
                  <c:pt idx="10">
                    <c:v>1.581563557484E-3</c:v>
                  </c:pt>
                </c:numCache>
              </c:numRef>
            </c:plus>
            <c:minus>
              <c:numRef>
                <c:f>Sheet1!$D$3:$D$13</c:f>
                <c:numCache>
                  <c:formatCode>General</c:formatCode>
                  <c:ptCount val="11"/>
                  <c:pt idx="0">
                    <c:v>5.7556160223318997E-2</c:v>
                  </c:pt>
                  <c:pt idx="1">
                    <c:v>3.6208281395706997E-2</c:v>
                  </c:pt>
                  <c:pt idx="2">
                    <c:v>4.3047223140088998E-2</c:v>
                  </c:pt>
                  <c:pt idx="3">
                    <c:v>5.3169595993452001E-2</c:v>
                  </c:pt>
                  <c:pt idx="4">
                    <c:v>3.3497200781692001E-2</c:v>
                  </c:pt>
                  <c:pt idx="5">
                    <c:v>3.2773269970195897E-2</c:v>
                  </c:pt>
                  <c:pt idx="6">
                    <c:v>4.4412769337237E-2</c:v>
                  </c:pt>
                  <c:pt idx="8">
                    <c:v>1.5789974992275E-2</c:v>
                  </c:pt>
                  <c:pt idx="9">
                    <c:v>4.0689703971269996E-3</c:v>
                  </c:pt>
                  <c:pt idx="10">
                    <c:v>1.5815635574840301E-3</c:v>
                  </c:pt>
                </c:numCache>
              </c:numRef>
            </c:minus>
          </c:errBars>
          <c:cat>
            <c:strRef>
              <c:f>Sheet1!$B$3:$B$13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Sheet1!$C$3:$C$13</c:f>
              <c:numCache>
                <c:formatCode>0.0%</c:formatCode>
                <c:ptCount val="11"/>
                <c:pt idx="0">
                  <c:v>0.24246444711638099</c:v>
                </c:pt>
                <c:pt idx="1">
                  <c:v>0.1682206968944</c:v>
                </c:pt>
                <c:pt idx="2">
                  <c:v>0.243610507165994</c:v>
                </c:pt>
                <c:pt idx="3">
                  <c:v>0.314572392622473</c:v>
                </c:pt>
                <c:pt idx="4">
                  <c:v>0.14604949735556499</c:v>
                </c:pt>
                <c:pt idx="5">
                  <c:v>0.13093990050130599</c:v>
                </c:pt>
                <c:pt idx="6">
                  <c:v>0.18774457376533499</c:v>
                </c:pt>
                <c:pt idx="8">
                  <c:v>0.19609918427853101</c:v>
                </c:pt>
                <c:pt idx="9">
                  <c:v>0.19414756483258799</c:v>
                </c:pt>
                <c:pt idx="10">
                  <c:v>0.20792421195463301</c:v>
                </c:pt>
              </c:numCache>
            </c:numRef>
          </c:val>
        </c:ser>
        <c:ser>
          <c:idx val="1"/>
          <c:order val="1"/>
          <c:tx>
            <c:strRef>
              <c:f>Sheet1!$G$2</c:f>
              <c:strCache>
                <c:ptCount val="1"/>
                <c:pt idx="0">
                  <c:v>2011</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6"/>
            <c:invertIfNegative val="0"/>
            <c:bubble3D val="0"/>
            <c:spPr>
              <a:solidFill>
                <a:schemeClr val="accent3"/>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dLbls>
            <c:txPr>
              <a:bodyPr rot="-5400000" vert="horz"/>
              <a:lstStyle/>
              <a:p>
                <a:pPr>
                  <a:defRPr sz="900"/>
                </a:pPr>
                <a:endParaRPr lang="en-US"/>
              </a:p>
            </c:txPr>
            <c:dLblPos val="inBase"/>
            <c:showLegendKey val="0"/>
            <c:showVal val="0"/>
            <c:showCatName val="0"/>
            <c:showSerName val="1"/>
            <c:showPercent val="0"/>
            <c:showBubbleSize val="0"/>
            <c:showLeaderLines val="0"/>
          </c:dLbls>
          <c:errBars>
            <c:errBarType val="both"/>
            <c:errValType val="cust"/>
            <c:noEndCap val="0"/>
            <c:plus>
              <c:numRef>
                <c:f>Sheet1!$I$3:$I$13</c:f>
                <c:numCache>
                  <c:formatCode>General</c:formatCode>
                  <c:ptCount val="11"/>
                  <c:pt idx="0">
                    <c:v>6.1480340228204998E-2</c:v>
                  </c:pt>
                  <c:pt idx="1">
                    <c:v>3.7362092552149E-2</c:v>
                  </c:pt>
                  <c:pt idx="2">
                    <c:v>4.2958873242247002E-2</c:v>
                  </c:pt>
                  <c:pt idx="3">
                    <c:v>5.1307671617285999E-2</c:v>
                  </c:pt>
                  <c:pt idx="4">
                    <c:v>4.1842149990932997E-2</c:v>
                  </c:pt>
                  <c:pt idx="5">
                    <c:v>4.0735379633880998E-2</c:v>
                  </c:pt>
                  <c:pt idx="6">
                    <c:v>4.6294127967500001E-2</c:v>
                  </c:pt>
                  <c:pt idx="8">
                    <c:v>1.6814015977777999E-2</c:v>
                  </c:pt>
                  <c:pt idx="9">
                    <c:v>4.2664350225740198E-3</c:v>
                  </c:pt>
                  <c:pt idx="10">
                    <c:v>1.7149384713789899E-3</c:v>
                  </c:pt>
                </c:numCache>
              </c:numRef>
            </c:plus>
            <c:minus>
              <c:numRef>
                <c:f>Sheet1!$H$3:$H$13</c:f>
                <c:numCache>
                  <c:formatCode>General</c:formatCode>
                  <c:ptCount val="11"/>
                  <c:pt idx="0">
                    <c:v>6.1480340228204998E-2</c:v>
                  </c:pt>
                  <c:pt idx="1">
                    <c:v>3.7362092552148E-2</c:v>
                  </c:pt>
                  <c:pt idx="2">
                    <c:v>4.2958873242246003E-2</c:v>
                  </c:pt>
                  <c:pt idx="3">
                    <c:v>5.1307671617285999E-2</c:v>
                  </c:pt>
                  <c:pt idx="4">
                    <c:v>4.1842149990931998E-2</c:v>
                  </c:pt>
                  <c:pt idx="5">
                    <c:v>4.0735379633880998E-2</c:v>
                  </c:pt>
                  <c:pt idx="6">
                    <c:v>4.6294127967499002E-2</c:v>
                  </c:pt>
                  <c:pt idx="8">
                    <c:v>1.6814015977777999E-2</c:v>
                  </c:pt>
                  <c:pt idx="9">
                    <c:v>4.2664350225729902E-3</c:v>
                  </c:pt>
                  <c:pt idx="10">
                    <c:v>1.7149384713780001E-3</c:v>
                  </c:pt>
                </c:numCache>
              </c:numRef>
            </c:minus>
          </c:errBars>
          <c:cat>
            <c:strRef>
              <c:f>Sheet1!$B$3:$B$13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Sheet1!$G$3:$G$13</c:f>
              <c:numCache>
                <c:formatCode>0.0%</c:formatCode>
                <c:ptCount val="11"/>
                <c:pt idx="0">
                  <c:v>0.16496117857853901</c:v>
                </c:pt>
                <c:pt idx="1">
                  <c:v>0.16167674605742299</c:v>
                </c:pt>
                <c:pt idx="2">
                  <c:v>0.19518433104171901</c:v>
                </c:pt>
                <c:pt idx="3">
                  <c:v>0.187152912878922</c:v>
                </c:pt>
                <c:pt idx="4">
                  <c:v>0.157392266491721</c:v>
                </c:pt>
                <c:pt idx="5">
                  <c:v>0.19970136989046899</c:v>
                </c:pt>
                <c:pt idx="6">
                  <c:v>0.17863114936211499</c:v>
                </c:pt>
                <c:pt idx="8">
                  <c:v>0.17774818363776801</c:v>
                </c:pt>
                <c:pt idx="9">
                  <c:v>0.18661508300911001</c:v>
                </c:pt>
                <c:pt idx="10">
                  <c:v>0.202146699034331</c:v>
                </c:pt>
              </c:numCache>
            </c:numRef>
          </c:val>
        </c:ser>
        <c:ser>
          <c:idx val="2"/>
          <c:order val="2"/>
          <c:tx>
            <c:strRef>
              <c:f>Sheet1!$K$2</c:f>
              <c:strCache>
                <c:ptCount val="1"/>
                <c:pt idx="0">
                  <c:v>2012</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2"/>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dLbls>
            <c:txPr>
              <a:bodyPr rot="-5400000" vert="horz"/>
              <a:lstStyle/>
              <a:p>
                <a:pPr>
                  <a:defRPr sz="900"/>
                </a:pPr>
                <a:endParaRPr lang="en-US"/>
              </a:p>
            </c:txPr>
            <c:dLblPos val="inBase"/>
            <c:showLegendKey val="0"/>
            <c:showVal val="0"/>
            <c:showCatName val="0"/>
            <c:showSerName val="1"/>
            <c:showPercent val="0"/>
            <c:showBubbleSize val="0"/>
            <c:showLeaderLines val="0"/>
          </c:dLbls>
          <c:errBars>
            <c:errBarType val="both"/>
            <c:errValType val="cust"/>
            <c:noEndCap val="0"/>
            <c:plus>
              <c:numRef>
                <c:f>Sheet1!$M$3:$M$13</c:f>
                <c:numCache>
                  <c:formatCode>General</c:formatCode>
                  <c:ptCount val="11"/>
                  <c:pt idx="0">
                    <c:v>8.4468957430115996E-2</c:v>
                  </c:pt>
                  <c:pt idx="1">
                    <c:v>4.2669345488108003E-2</c:v>
                  </c:pt>
                  <c:pt idx="2">
                    <c:v>5.1442471442765002E-2</c:v>
                  </c:pt>
                  <c:pt idx="3">
                    <c:v>5.0317674231226003E-2</c:v>
                  </c:pt>
                  <c:pt idx="4">
                    <c:v>3.8240753964139999E-2</c:v>
                  </c:pt>
                  <c:pt idx="5">
                    <c:v>4.3451594814648498E-2</c:v>
                  </c:pt>
                  <c:pt idx="6">
                    <c:v>5.4021440060622997E-2</c:v>
                  </c:pt>
                  <c:pt idx="8">
                    <c:v>1.8504183629549999E-2</c:v>
                  </c:pt>
                  <c:pt idx="9">
                    <c:v>4.3255508329610101E-3</c:v>
                  </c:pt>
                  <c:pt idx="10">
                    <c:v>1.768025396719E-3</c:v>
                  </c:pt>
                </c:numCache>
              </c:numRef>
            </c:plus>
            <c:minus>
              <c:numRef>
                <c:f>Sheet1!$L$3:$L$13</c:f>
                <c:numCache>
                  <c:formatCode>General</c:formatCode>
                  <c:ptCount val="11"/>
                  <c:pt idx="0">
                    <c:v>8.4468957430116995E-2</c:v>
                  </c:pt>
                  <c:pt idx="1">
                    <c:v>4.2669345488106997E-2</c:v>
                  </c:pt>
                  <c:pt idx="2">
                    <c:v>5.1442471442765002E-2</c:v>
                  </c:pt>
                  <c:pt idx="3">
                    <c:v>5.0317674231224997E-2</c:v>
                  </c:pt>
                  <c:pt idx="4">
                    <c:v>3.8240753964139999E-2</c:v>
                  </c:pt>
                  <c:pt idx="5">
                    <c:v>4.3451594814648997E-2</c:v>
                  </c:pt>
                  <c:pt idx="6">
                    <c:v>5.4021440060621997E-2</c:v>
                  </c:pt>
                  <c:pt idx="8">
                    <c:v>1.8504183629550999E-2</c:v>
                  </c:pt>
                  <c:pt idx="9">
                    <c:v>4.3255508329610101E-3</c:v>
                  </c:pt>
                  <c:pt idx="10">
                    <c:v>1.7680253967200001E-3</c:v>
                  </c:pt>
                </c:numCache>
              </c:numRef>
            </c:minus>
          </c:errBars>
          <c:cat>
            <c:strRef>
              <c:f>Sheet1!$B$3:$B$13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Sheet1!$K$3:$K$13</c:f>
              <c:numCache>
                <c:formatCode>0.0%</c:formatCode>
                <c:ptCount val="11"/>
                <c:pt idx="0">
                  <c:v>0.22538431700794201</c:v>
                </c:pt>
                <c:pt idx="1">
                  <c:v>0.181161497448833</c:v>
                </c:pt>
                <c:pt idx="2">
                  <c:v>0.21742015583526</c:v>
                </c:pt>
                <c:pt idx="3">
                  <c:v>0.22670818400799</c:v>
                </c:pt>
                <c:pt idx="4">
                  <c:v>0.13252244727500501</c:v>
                </c:pt>
                <c:pt idx="5">
                  <c:v>0.18283705541770101</c:v>
                </c:pt>
                <c:pt idx="6">
                  <c:v>0.192966821219967</c:v>
                </c:pt>
                <c:pt idx="8">
                  <c:v>0.19062221070513399</c:v>
                </c:pt>
                <c:pt idx="9">
                  <c:v>0.180220040364207</c:v>
                </c:pt>
                <c:pt idx="10">
                  <c:v>0.19534322865904599</c:v>
                </c:pt>
              </c:numCache>
            </c:numRef>
          </c:val>
        </c:ser>
        <c:ser>
          <c:idx val="3"/>
          <c:order val="3"/>
          <c:tx>
            <c:strRef>
              <c:f>Sheet1!$O$2</c:f>
              <c:strCache>
                <c:ptCount val="1"/>
                <c:pt idx="0">
                  <c:v>2013</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2"/>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6"/>
            <c:invertIfNegative val="0"/>
            <c:bubble3D val="0"/>
            <c:spPr>
              <a:solidFill>
                <a:schemeClr val="accent3"/>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dLbls>
            <c:txPr>
              <a:bodyPr rot="-5400000" vert="horz"/>
              <a:lstStyle/>
              <a:p>
                <a:pPr>
                  <a:defRPr sz="900"/>
                </a:pPr>
                <a:endParaRPr lang="en-US"/>
              </a:p>
            </c:txPr>
            <c:dLblPos val="inBase"/>
            <c:showLegendKey val="0"/>
            <c:showVal val="0"/>
            <c:showCatName val="0"/>
            <c:showSerName val="1"/>
            <c:showPercent val="0"/>
            <c:showBubbleSize val="0"/>
            <c:showLeaderLines val="0"/>
          </c:dLbls>
          <c:errBars>
            <c:errBarType val="both"/>
            <c:errValType val="cust"/>
            <c:noEndCap val="0"/>
            <c:plus>
              <c:numRef>
                <c:f>Sheet1!$Q$3:$Q$13</c:f>
                <c:numCache>
                  <c:formatCode>General</c:formatCode>
                  <c:ptCount val="11"/>
                  <c:pt idx="0">
                    <c:v>7.7043823434569003E-2</c:v>
                  </c:pt>
                  <c:pt idx="1">
                    <c:v>4.0752169583495999E-2</c:v>
                  </c:pt>
                  <c:pt idx="2">
                    <c:v>4.4749180276207001E-2</c:v>
                  </c:pt>
                  <c:pt idx="3">
                    <c:v>5.7218966060971002E-2</c:v>
                  </c:pt>
                  <c:pt idx="4">
                    <c:v>3.8726075156062002E-2</c:v>
                  </c:pt>
                  <c:pt idx="5">
                    <c:v>4.3051487850193498E-2</c:v>
                  </c:pt>
                  <c:pt idx="6">
                    <c:v>5.0104153407229998E-2</c:v>
                  </c:pt>
                  <c:pt idx="8">
                    <c:v>1.7897326049122999E-2</c:v>
                  </c:pt>
                  <c:pt idx="9">
                    <c:v>4.5719545176479996E-3</c:v>
                  </c:pt>
                  <c:pt idx="10">
                    <c:v>1.50424408400802E-3</c:v>
                  </c:pt>
                </c:numCache>
              </c:numRef>
            </c:plus>
            <c:minus>
              <c:numRef>
                <c:f>Sheet1!$P$3:$P$13</c:f>
                <c:numCache>
                  <c:formatCode>General</c:formatCode>
                  <c:ptCount val="11"/>
                  <c:pt idx="0">
                    <c:v>7.6956176565430995E-2</c:v>
                  </c:pt>
                  <c:pt idx="1">
                    <c:v>4.1247830416503997E-2</c:v>
                  </c:pt>
                  <c:pt idx="2">
                    <c:v>4.4250819723793001E-2</c:v>
                  </c:pt>
                  <c:pt idx="3">
                    <c:v>5.7781033939029003E-2</c:v>
                  </c:pt>
                  <c:pt idx="4">
                    <c:v>3.8273924843937997E-2</c:v>
                  </c:pt>
                  <c:pt idx="5">
                    <c:v>4.2948512149807001E-2</c:v>
                  </c:pt>
                  <c:pt idx="6">
                    <c:v>5.0895846592770001E-2</c:v>
                  </c:pt>
                  <c:pt idx="8">
                    <c:v>1.8102673950876998E-2</c:v>
                  </c:pt>
                  <c:pt idx="9">
                    <c:v>4.4280454823519798E-3</c:v>
                  </c:pt>
                  <c:pt idx="10">
                    <c:v>1.49575591599199E-3</c:v>
                  </c:pt>
                </c:numCache>
              </c:numRef>
            </c:minus>
          </c:errBars>
          <c:cat>
            <c:strRef>
              <c:f>Sheet1!$B$3:$B$13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Sheet1!$O$3:$O$13</c:f>
              <c:numCache>
                <c:formatCode>0.0%</c:formatCode>
                <c:ptCount val="11"/>
                <c:pt idx="0">
                  <c:v>0.180956176565431</c:v>
                </c:pt>
                <c:pt idx="1">
                  <c:v>0.16124783041650401</c:v>
                </c:pt>
                <c:pt idx="2">
                  <c:v>0.15725081972379301</c:v>
                </c:pt>
                <c:pt idx="3">
                  <c:v>0.244781033939029</c:v>
                </c:pt>
                <c:pt idx="4">
                  <c:v>0.139273924843938</c:v>
                </c:pt>
                <c:pt idx="5">
                  <c:v>0.15594851214980701</c:v>
                </c:pt>
                <c:pt idx="6">
                  <c:v>0.19089584659277001</c:v>
                </c:pt>
                <c:pt idx="8">
                  <c:v>0.172102673950877</c:v>
                </c:pt>
                <c:pt idx="9">
                  <c:v>0.17242804548235199</c:v>
                </c:pt>
                <c:pt idx="10">
                  <c:v>0.18449575591599199</c:v>
                </c:pt>
              </c:numCache>
            </c:numRef>
          </c:val>
        </c:ser>
        <c:dLbls>
          <c:showLegendKey val="0"/>
          <c:showVal val="0"/>
          <c:showCatName val="0"/>
          <c:showSerName val="0"/>
          <c:showPercent val="0"/>
          <c:showBubbleSize val="0"/>
        </c:dLbls>
        <c:gapWidth val="40"/>
        <c:axId val="94767744"/>
        <c:axId val="94774016"/>
      </c:barChart>
      <c:catAx>
        <c:axId val="94767744"/>
        <c:scaling>
          <c:orientation val="minMax"/>
        </c:scaling>
        <c:delete val="0"/>
        <c:axPos val="b"/>
        <c:title>
          <c:tx>
            <c:rich>
              <a:bodyPr/>
              <a:lstStyle/>
              <a:p>
                <a:pPr>
                  <a:defRPr/>
                </a:pPr>
                <a:r>
                  <a:rPr lang="en-GB"/>
                  <a:t>Local authorities in West Sussex</a:t>
                </a:r>
              </a:p>
            </c:rich>
          </c:tx>
          <c:overlay val="0"/>
        </c:title>
        <c:majorTickMark val="out"/>
        <c:minorTickMark val="none"/>
        <c:tickLblPos val="nextTo"/>
        <c:txPr>
          <a:bodyPr rot="-2700000" vert="horz" anchor="ctr" anchorCtr="0"/>
          <a:lstStyle/>
          <a:p>
            <a:pPr>
              <a:defRPr/>
            </a:pPr>
            <a:endParaRPr lang="en-US"/>
          </a:p>
        </c:txPr>
        <c:crossAx val="94774016"/>
        <c:crosses val="autoZero"/>
        <c:auto val="0"/>
        <c:lblAlgn val="ctr"/>
        <c:lblOffset val="100"/>
        <c:noMultiLvlLbl val="0"/>
      </c:catAx>
      <c:valAx>
        <c:axId val="94774016"/>
        <c:scaling>
          <c:orientation val="minMax"/>
        </c:scaling>
        <c:delete val="0"/>
        <c:axPos val="l"/>
        <c:majorGridlines>
          <c:spPr>
            <a:ln>
              <a:solidFill>
                <a:schemeClr val="bg1">
                  <a:lumMod val="85000"/>
                </a:schemeClr>
              </a:solidFill>
            </a:ln>
          </c:spPr>
        </c:majorGridlines>
        <c:title>
          <c:tx>
            <c:rich>
              <a:bodyPr rot="-5400000" vert="horz"/>
              <a:lstStyle/>
              <a:p>
                <a:pPr>
                  <a:defRPr/>
                </a:pPr>
                <a:r>
                  <a:rPr lang="en-GB"/>
                  <a:t>Prevakence</a:t>
                </a:r>
                <a:r>
                  <a:rPr lang="en-GB" baseline="0"/>
                  <a:t> of current smoking (adults age 18+)</a:t>
                </a:r>
                <a:endParaRPr lang="en-GB"/>
              </a:p>
            </c:rich>
          </c:tx>
          <c:overlay val="0"/>
        </c:title>
        <c:numFmt formatCode="0%" sourceLinked="0"/>
        <c:majorTickMark val="out"/>
        <c:minorTickMark val="out"/>
        <c:tickLblPos val="nextTo"/>
        <c:crossAx val="94767744"/>
        <c:crossesAt val="1"/>
        <c:crossBetween val="between"/>
      </c:valAx>
    </c:plotArea>
    <c:plotVisOnly val="1"/>
    <c:dispBlanksAs val="gap"/>
    <c:showDLblsOverMax val="0"/>
  </c:chart>
  <c:spPr>
    <a:ln>
      <a:solidFill>
        <a:schemeClr val="bg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GB" sz="1200"/>
              <a:t>Figure 4</a:t>
            </a:r>
            <a:r>
              <a:rPr lang="en-GB" sz="1200" baseline="0"/>
              <a:t> </a:t>
            </a:r>
            <a:r>
              <a:rPr lang="en-GB" sz="1200" b="0" baseline="0"/>
              <a:t>Prevalence of current smoking (adults aged 18+) among routine and manual workers, for local authorities in West Sussex</a:t>
            </a:r>
            <a:endParaRPr lang="en-GB" sz="1200" b="0"/>
          </a:p>
        </c:rich>
      </c:tx>
      <c:overlay val="0"/>
    </c:title>
    <c:autoTitleDeleted val="0"/>
    <c:plotArea>
      <c:layout/>
      <c:barChart>
        <c:barDir val="col"/>
        <c:grouping val="clustered"/>
        <c:varyColors val="0"/>
        <c:ser>
          <c:idx val="0"/>
          <c:order val="0"/>
          <c:tx>
            <c:strRef>
              <c:f>'RoutineManual Prev'!$D$2</c:f>
              <c:strCache>
                <c:ptCount val="1"/>
                <c:pt idx="0">
                  <c:v>2011</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2"/>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6"/>
            <c:invertIfNegative val="0"/>
            <c:bubble3D val="0"/>
            <c:spPr>
              <a:solidFill>
                <a:schemeClr val="accent3"/>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errBars>
            <c:errBarType val="both"/>
            <c:errValType val="cust"/>
            <c:noEndCap val="0"/>
            <c:plus>
              <c:numRef>
                <c:f>'RoutineManual Prev'!$F$3:$F$13</c:f>
                <c:numCache>
                  <c:formatCode>General</c:formatCode>
                  <c:ptCount val="11"/>
                  <c:pt idx="0">
                    <c:v>0.22478045596449001</c:v>
                  </c:pt>
                  <c:pt idx="1">
                    <c:v>8.5779571138323005E-2</c:v>
                  </c:pt>
                  <c:pt idx="2">
                    <c:v>0.12035504498814401</c:v>
                  </c:pt>
                  <c:pt idx="3">
                    <c:v>0.11628054185565199</c:v>
                  </c:pt>
                  <c:pt idx="4">
                    <c:v>9.2253483913234E-2</c:v>
                  </c:pt>
                  <c:pt idx="5">
                    <c:v>0.12505639534648499</c:v>
                  </c:pt>
                  <c:pt idx="6">
                    <c:v>0.15703113905716601</c:v>
                  </c:pt>
                  <c:pt idx="8">
                    <c:v>4.7187073573301999E-2</c:v>
                  </c:pt>
                  <c:pt idx="9">
                    <c:v>1.1630088595584001E-2</c:v>
                  </c:pt>
                  <c:pt idx="10">
                    <c:v>4.2292826608129998E-3</c:v>
                  </c:pt>
                </c:numCache>
              </c:numRef>
            </c:plus>
            <c:minus>
              <c:numRef>
                <c:f>'RoutineManual Prev'!$E$3:$E$13</c:f>
                <c:numCache>
                  <c:formatCode>General</c:formatCode>
                  <c:ptCount val="11"/>
                  <c:pt idx="0">
                    <c:v>0.224780455964491</c:v>
                  </c:pt>
                  <c:pt idx="1">
                    <c:v>8.5779571138324004E-2</c:v>
                  </c:pt>
                  <c:pt idx="2">
                    <c:v>0.12035504498814301</c:v>
                  </c:pt>
                  <c:pt idx="3">
                    <c:v>0.11628054185565199</c:v>
                  </c:pt>
                  <c:pt idx="4">
                    <c:v>9.2253483913235096E-2</c:v>
                  </c:pt>
                  <c:pt idx="5">
                    <c:v>0.12505639534648499</c:v>
                  </c:pt>
                  <c:pt idx="6">
                    <c:v>0.15703113905716501</c:v>
                  </c:pt>
                  <c:pt idx="8">
                    <c:v>4.7187073573301E-2</c:v>
                  </c:pt>
                  <c:pt idx="9">
                    <c:v>1.1630088595585E-2</c:v>
                  </c:pt>
                  <c:pt idx="10">
                    <c:v>4.2292826608139903E-3</c:v>
                  </c:pt>
                </c:numCache>
              </c:numRef>
            </c:minus>
          </c:errBars>
          <c:cat>
            <c:strRef>
              <c:f>'RoutineManual Prev'!$C$3:$C$13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'RoutineManual Prev'!$D$3:$D$13</c:f>
              <c:numCache>
                <c:formatCode>0.0%</c:formatCode>
                <c:ptCount val="11"/>
                <c:pt idx="0">
                  <c:v>0.489780805687204</c:v>
                </c:pt>
                <c:pt idx="1">
                  <c:v>0.15952503871967</c:v>
                </c:pt>
                <c:pt idx="2">
                  <c:v>0.42994560838033802</c:v>
                </c:pt>
                <c:pt idx="3">
                  <c:v>0.30297259637714802</c:v>
                </c:pt>
                <c:pt idx="4">
                  <c:v>0.135879882643963</c:v>
                </c:pt>
                <c:pt idx="5">
                  <c:v>0.40094550883304297</c:v>
                </c:pt>
                <c:pt idx="6">
                  <c:v>0.32179226069246403</c:v>
                </c:pt>
                <c:pt idx="8">
                  <c:v>0.29667433923327202</c:v>
                </c:pt>
                <c:pt idx="9">
                  <c:v>0.30477670714208899</c:v>
                </c:pt>
                <c:pt idx="10">
                  <c:v>0.30284615021154898</c:v>
                </c:pt>
              </c:numCache>
            </c:numRef>
          </c:val>
        </c:ser>
        <c:ser>
          <c:idx val="1"/>
          <c:order val="1"/>
          <c:tx>
            <c:strRef>
              <c:f>'RoutineManual Prev'!$H$2</c:f>
              <c:strCache>
                <c:ptCount val="1"/>
                <c:pt idx="0">
                  <c:v>2012</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6"/>
            <c:invertIfNegative val="0"/>
            <c:bubble3D val="0"/>
            <c:spPr>
              <a:solidFill>
                <a:schemeClr val="accent3"/>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errBars>
            <c:errBarType val="both"/>
            <c:errValType val="cust"/>
            <c:noEndCap val="0"/>
            <c:plus>
              <c:numRef>
                <c:f>'RoutineManual Prev'!$J$3:$J$13</c:f>
                <c:numCache>
                  <c:formatCode>General</c:formatCode>
                  <c:ptCount val="11"/>
                  <c:pt idx="0">
                    <c:v>0.219690652114267</c:v>
                  </c:pt>
                  <c:pt idx="1">
                    <c:v>9.6291043895295997E-2</c:v>
                  </c:pt>
                  <c:pt idx="2">
                    <c:v>0.13673586786637401</c:v>
                  </c:pt>
                  <c:pt idx="3">
                    <c:v>0.102715722563965</c:v>
                  </c:pt>
                  <c:pt idx="4">
                    <c:v>0.100330738145664</c:v>
                  </c:pt>
                  <c:pt idx="5">
                    <c:v>0.10950847512457799</c:v>
                  </c:pt>
                  <c:pt idx="6">
                    <c:v>0.164510695716301</c:v>
                  </c:pt>
                  <c:pt idx="8">
                    <c:v>4.6567332246343997E-2</c:v>
                  </c:pt>
                  <c:pt idx="9">
                    <c:v>1.1550168286386E-2</c:v>
                  </c:pt>
                  <c:pt idx="10">
                    <c:v>4.2988954617759799E-3</c:v>
                  </c:pt>
                </c:numCache>
              </c:numRef>
            </c:plus>
            <c:minus>
              <c:numRef>
                <c:f>'RoutineManual Prev'!$I$3:$I$13</c:f>
                <c:numCache>
                  <c:formatCode>General</c:formatCode>
                  <c:ptCount val="11"/>
                  <c:pt idx="0">
                    <c:v>0.219690652114267</c:v>
                  </c:pt>
                  <c:pt idx="1">
                    <c:v>9.6291043895295997E-2</c:v>
                  </c:pt>
                  <c:pt idx="2">
                    <c:v>0.13673586786637301</c:v>
                  </c:pt>
                  <c:pt idx="3">
                    <c:v>0.102715722563964</c:v>
                  </c:pt>
                  <c:pt idx="4">
                    <c:v>0.100330738145664</c:v>
                  </c:pt>
                  <c:pt idx="5">
                    <c:v>0.10950847512457799</c:v>
                  </c:pt>
                  <c:pt idx="6">
                    <c:v>0.164510695716301</c:v>
                  </c:pt>
                  <c:pt idx="8">
                    <c:v>4.6567332246343997E-2</c:v>
                  </c:pt>
                  <c:pt idx="9">
                    <c:v>1.1550168286385E-2</c:v>
                  </c:pt>
                  <c:pt idx="10">
                    <c:v>4.2988954617760198E-3</c:v>
                  </c:pt>
                </c:numCache>
              </c:numRef>
            </c:minus>
          </c:errBars>
          <c:cat>
            <c:strRef>
              <c:f>'RoutineManual Prev'!$C$3:$C$13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'RoutineManual Prev'!$H$3:$H$13</c:f>
              <c:numCache>
                <c:formatCode>0.0%</c:formatCode>
                <c:ptCount val="11"/>
                <c:pt idx="0">
                  <c:v>0.39373007438894803</c:v>
                </c:pt>
                <c:pt idx="1">
                  <c:v>0.24199072422404599</c:v>
                </c:pt>
                <c:pt idx="2">
                  <c:v>0.32396213503649601</c:v>
                </c:pt>
                <c:pt idx="3">
                  <c:v>0.26546528022559002</c:v>
                </c:pt>
                <c:pt idx="4">
                  <c:v>0.15128254333781099</c:v>
                </c:pt>
                <c:pt idx="5">
                  <c:v>0.21463839674702301</c:v>
                </c:pt>
                <c:pt idx="6">
                  <c:v>0.367645918921014</c:v>
                </c:pt>
                <c:pt idx="8">
                  <c:v>0.26735320569433102</c:v>
                </c:pt>
                <c:pt idx="9">
                  <c:v>0.29450135821568202</c:v>
                </c:pt>
                <c:pt idx="10">
                  <c:v>0.29697582323230098</c:v>
                </c:pt>
              </c:numCache>
            </c:numRef>
          </c:val>
        </c:ser>
        <c:ser>
          <c:idx val="2"/>
          <c:order val="2"/>
          <c:tx>
            <c:strRef>
              <c:f>'RoutineManual Prev'!$L$2</c:f>
              <c:strCache>
                <c:ptCount val="1"/>
                <c:pt idx="0">
                  <c:v>2013</c:v>
                </c:pt>
              </c:strCache>
            </c:strRef>
          </c:tx>
          <c:spPr>
            <a:ln>
              <a:solidFill>
                <a:schemeClr val="tx1"/>
              </a:solidFill>
            </a:ln>
          </c:spPr>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2"/>
              </a:solidFill>
              <a:ln>
                <a:solidFill>
                  <a:schemeClr val="tx1"/>
                </a:solidFill>
              </a:ln>
            </c:spPr>
          </c:dPt>
          <c:dPt>
            <c:idx val="2"/>
            <c:invertIfNegative val="0"/>
            <c:bubble3D val="0"/>
            <c:spPr>
              <a:solidFill>
                <a:schemeClr val="tx2">
                  <a:lumMod val="60000"/>
                  <a:lumOff val="40000"/>
                </a:schemeClr>
              </a:solidFill>
              <a:ln>
                <a:solidFill>
                  <a:schemeClr val="tx1"/>
                </a:solidFill>
              </a:ln>
            </c:spPr>
          </c:dPt>
          <c:dPt>
            <c:idx val="3"/>
            <c:invertIfNegative val="0"/>
            <c:bubble3D val="0"/>
            <c:spPr>
              <a:solidFill>
                <a:srgbClr val="FFC000"/>
              </a:solidFill>
              <a:ln>
                <a:solidFill>
                  <a:schemeClr val="tx1"/>
                </a:solidFill>
              </a:ln>
            </c:spPr>
          </c:dPt>
          <c:dPt>
            <c:idx val="4"/>
            <c:invertIfNegative val="0"/>
            <c:bubble3D val="0"/>
            <c:spPr>
              <a:solidFill>
                <a:schemeClr val="accent4"/>
              </a:solidFill>
              <a:ln>
                <a:solidFill>
                  <a:schemeClr val="tx1"/>
                </a:solidFill>
              </a:ln>
            </c:spPr>
          </c:dPt>
          <c:dPt>
            <c:idx val="5"/>
            <c:invertIfNegative val="0"/>
            <c:bubble3D val="0"/>
            <c:spPr>
              <a:solidFill>
                <a:schemeClr val="tx2">
                  <a:lumMod val="40000"/>
                  <a:lumOff val="60000"/>
                </a:schemeClr>
              </a:solidFill>
              <a:ln>
                <a:solidFill>
                  <a:schemeClr val="tx1"/>
                </a:solidFill>
              </a:ln>
            </c:spPr>
          </c:dPt>
          <c:dPt>
            <c:idx val="8"/>
            <c:invertIfNegative val="0"/>
            <c:bubble3D val="0"/>
            <c:spPr>
              <a:solidFill>
                <a:schemeClr val="accent6">
                  <a:lumMod val="75000"/>
                </a:schemeClr>
              </a:solidFill>
              <a:ln>
                <a:solidFill>
                  <a:schemeClr val="tx1"/>
                </a:solidFill>
              </a:ln>
            </c:spPr>
          </c:dPt>
          <c:dPt>
            <c:idx val="9"/>
            <c:invertIfNegative val="0"/>
            <c:bubble3D val="0"/>
            <c:spPr>
              <a:solidFill>
                <a:schemeClr val="tx1">
                  <a:lumMod val="50000"/>
                  <a:lumOff val="50000"/>
                </a:schemeClr>
              </a:solidFill>
              <a:ln>
                <a:solidFill>
                  <a:schemeClr val="tx1"/>
                </a:solidFill>
              </a:ln>
            </c:spPr>
          </c:dPt>
          <c:dPt>
            <c:idx val="10"/>
            <c:invertIfNegative val="0"/>
            <c:bubble3D val="0"/>
            <c:spPr>
              <a:solidFill>
                <a:schemeClr val="bg1">
                  <a:lumMod val="65000"/>
                </a:schemeClr>
              </a:solidFill>
              <a:ln>
                <a:solidFill>
                  <a:schemeClr val="tx1"/>
                </a:solidFill>
              </a:ln>
            </c:spPr>
          </c:dPt>
          <c:errBars>
            <c:errBarType val="both"/>
            <c:errValType val="cust"/>
            <c:noEndCap val="0"/>
            <c:plus>
              <c:numRef>
                <c:f>'RoutineManual Prev'!$N$3:$N$13</c:f>
                <c:numCache>
                  <c:formatCode>General</c:formatCode>
                  <c:ptCount val="11"/>
                  <c:pt idx="0">
                    <c:v>0.17699233506564899</c:v>
                  </c:pt>
                  <c:pt idx="1">
                    <c:v>0.101235734898187</c:v>
                  </c:pt>
                  <c:pt idx="2">
                    <c:v>0.13895423898083201</c:v>
                  </c:pt>
                  <c:pt idx="3">
                    <c:v>0.115114371075003</c:v>
                  </c:pt>
                  <c:pt idx="4">
                    <c:v>0.12750917934263001</c:v>
                  </c:pt>
                  <c:pt idx="5">
                    <c:v>0.130964478727888</c:v>
                  </c:pt>
                  <c:pt idx="6">
                    <c:v>0.14249899380665501</c:v>
                  </c:pt>
                  <c:pt idx="8">
                    <c:v>4.8902819821611002E-2</c:v>
                  </c:pt>
                  <c:pt idx="9">
                    <c:v>1.2091307555705E-2</c:v>
                  </c:pt>
                  <c:pt idx="10">
                    <c:v>4.0161501074589996E-3</c:v>
                  </c:pt>
                </c:numCache>
              </c:numRef>
            </c:plus>
            <c:minus>
              <c:numRef>
                <c:f>'RoutineManual Prev'!$M$3:$M$13</c:f>
                <c:numCache>
                  <c:formatCode>General</c:formatCode>
                  <c:ptCount val="11"/>
                  <c:pt idx="0">
                    <c:v>0.17700766493435099</c:v>
                  </c:pt>
                  <c:pt idx="1">
                    <c:v>0.10076426510181299</c:v>
                  </c:pt>
                  <c:pt idx="2">
                    <c:v>0.13904576101916799</c:v>
                  </c:pt>
                  <c:pt idx="3">
                    <c:v>0.115885628924997</c:v>
                  </c:pt>
                  <c:pt idx="4">
                    <c:v>0.12749082065737</c:v>
                  </c:pt>
                  <c:pt idx="5">
                    <c:v>0.13103552127211199</c:v>
                  </c:pt>
                  <c:pt idx="6">
                    <c:v>0.14250100619334499</c:v>
                  </c:pt>
                  <c:pt idx="8">
                    <c:v>4.8097180178389001E-2</c:v>
                  </c:pt>
                  <c:pt idx="9">
                    <c:v>1.1908692444295E-2</c:v>
                  </c:pt>
                  <c:pt idx="10">
                    <c:v>3.9838498925410101E-3</c:v>
                  </c:pt>
                </c:numCache>
              </c:numRef>
            </c:minus>
          </c:errBars>
          <c:cat>
            <c:strRef>
              <c:f>'RoutineManual Prev'!$C$3:$C$13</c:f>
              <c:strCache>
                <c:ptCount val="11"/>
                <c:pt idx="0">
                  <c:v>Adur</c:v>
                </c:pt>
                <c:pt idx="1">
                  <c:v>Arun</c:v>
                </c:pt>
                <c:pt idx="2">
                  <c:v>Chichester</c:v>
                </c:pt>
                <c:pt idx="3">
                  <c:v>Crawley</c:v>
                </c:pt>
                <c:pt idx="4">
                  <c:v>Horsham</c:v>
                </c:pt>
                <c:pt idx="5">
                  <c:v>Mid Sussex</c:v>
                </c:pt>
                <c:pt idx="6">
                  <c:v>Worthing</c:v>
                </c:pt>
                <c:pt idx="8">
                  <c:v>West Sussex</c:v>
                </c:pt>
                <c:pt idx="9">
                  <c:v>South East</c:v>
                </c:pt>
                <c:pt idx="10">
                  <c:v>England</c:v>
                </c:pt>
              </c:strCache>
            </c:strRef>
          </c:cat>
          <c:val>
            <c:numRef>
              <c:f>'RoutineManual Prev'!$L$3:$L$13</c:f>
              <c:numCache>
                <c:formatCode>0.0%</c:formatCode>
                <c:ptCount val="11"/>
                <c:pt idx="0">
                  <c:v>0.28500766493435098</c:v>
                </c:pt>
                <c:pt idx="1">
                  <c:v>0.25076426510181299</c:v>
                </c:pt>
                <c:pt idx="2">
                  <c:v>0.28104576101916801</c:v>
                </c:pt>
                <c:pt idx="3">
                  <c:v>0.28788562892499697</c:v>
                </c:pt>
                <c:pt idx="4">
                  <c:v>0.25849082065737</c:v>
                </c:pt>
                <c:pt idx="5">
                  <c:v>0.267035521272112</c:v>
                </c:pt>
                <c:pt idx="6">
                  <c:v>0.26750100619334499</c:v>
                </c:pt>
                <c:pt idx="8">
                  <c:v>0.26909718017838902</c:v>
                </c:pt>
                <c:pt idx="9">
                  <c:v>0.29190869244429501</c:v>
                </c:pt>
                <c:pt idx="10">
                  <c:v>0.285983849892541</c:v>
                </c:pt>
              </c:numCache>
            </c:numRef>
          </c:val>
        </c:ser>
        <c:dLbls>
          <c:showLegendKey val="0"/>
          <c:showVal val="0"/>
          <c:showCatName val="0"/>
          <c:showSerName val="0"/>
          <c:showPercent val="0"/>
          <c:showBubbleSize val="0"/>
        </c:dLbls>
        <c:gapWidth val="150"/>
        <c:axId val="95640960"/>
        <c:axId val="95647232"/>
      </c:barChart>
      <c:catAx>
        <c:axId val="95640960"/>
        <c:scaling>
          <c:orientation val="minMax"/>
        </c:scaling>
        <c:delete val="0"/>
        <c:axPos val="b"/>
        <c:title>
          <c:tx>
            <c:rich>
              <a:bodyPr/>
              <a:lstStyle/>
              <a:p>
                <a:pPr>
                  <a:defRPr/>
                </a:pPr>
                <a:r>
                  <a:rPr lang="en-GB"/>
                  <a:t>Local authorities</a:t>
                </a:r>
                <a:r>
                  <a:rPr lang="en-GB" baseline="0"/>
                  <a:t> in West Sussex</a:t>
                </a:r>
                <a:endParaRPr lang="en-GB"/>
              </a:p>
            </c:rich>
          </c:tx>
          <c:overlay val="0"/>
        </c:title>
        <c:majorTickMark val="out"/>
        <c:minorTickMark val="none"/>
        <c:tickLblPos val="nextTo"/>
        <c:txPr>
          <a:bodyPr rot="-2700000"/>
          <a:lstStyle/>
          <a:p>
            <a:pPr>
              <a:defRPr/>
            </a:pPr>
            <a:endParaRPr lang="en-US"/>
          </a:p>
        </c:txPr>
        <c:crossAx val="95647232"/>
        <c:crosses val="autoZero"/>
        <c:auto val="1"/>
        <c:lblAlgn val="ctr"/>
        <c:lblOffset val="100"/>
        <c:noMultiLvlLbl val="0"/>
      </c:catAx>
      <c:valAx>
        <c:axId val="95647232"/>
        <c:scaling>
          <c:orientation val="minMax"/>
        </c:scaling>
        <c:delete val="0"/>
        <c:axPos val="l"/>
        <c:majorGridlines>
          <c:spPr>
            <a:ln>
              <a:solidFill>
                <a:schemeClr val="bg1">
                  <a:lumMod val="85000"/>
                </a:schemeClr>
              </a:solidFill>
            </a:ln>
          </c:spPr>
        </c:majorGridlines>
        <c:title>
          <c:tx>
            <c:rich>
              <a:bodyPr rot="-5400000" vert="horz"/>
              <a:lstStyle/>
              <a:p>
                <a:pPr>
                  <a:defRPr/>
                </a:pPr>
                <a:r>
                  <a:rPr lang="en-GB"/>
                  <a:t>Prevalence</a:t>
                </a:r>
                <a:r>
                  <a:rPr lang="en-GB" baseline="0"/>
                  <a:t> of current smoking (adults age 18+)</a:t>
                </a:r>
                <a:endParaRPr lang="en-GB"/>
              </a:p>
            </c:rich>
          </c:tx>
          <c:layout>
            <c:manualLayout>
              <c:xMode val="edge"/>
              <c:yMode val="edge"/>
              <c:x val="1.7094017094017096E-2"/>
              <c:y val="0.10621131660867975"/>
            </c:manualLayout>
          </c:layout>
          <c:overlay val="0"/>
        </c:title>
        <c:numFmt formatCode="0%" sourceLinked="0"/>
        <c:majorTickMark val="out"/>
        <c:minorTickMark val="out"/>
        <c:tickLblPos val="nextTo"/>
        <c:crossAx val="95640960"/>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6D693-D098-44D1-A18D-72D42783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 briefing template</Template>
  <TotalTime>1</TotalTime>
  <Pages>5</Pages>
  <Words>1062</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West Sussex Public Health Data Briefing    Issue 1: August 2012</vt:lpstr>
    </vt:vector>
  </TitlesOfParts>
  <Company>West Sussex County Council</Company>
  <LinksUpToDate>false</LinksUpToDate>
  <CharactersWithSpaces>7296</CharactersWithSpaces>
  <SharedDoc>false</SharedDoc>
  <HLinks>
    <vt:vector size="12" baseType="variant">
      <vt:variant>
        <vt:i4>2883658</vt:i4>
      </vt:variant>
      <vt:variant>
        <vt:i4>0</vt:i4>
      </vt:variant>
      <vt:variant>
        <vt:i4>0</vt:i4>
      </vt:variant>
      <vt:variant>
        <vt:i4>5</vt:i4>
      </vt:variant>
      <vt:variant>
        <vt:lpwstr>mailto:louisa.hall@nhs.net</vt:lpwstr>
      </vt:variant>
      <vt:variant>
        <vt:lpwstr/>
      </vt:variant>
      <vt:variant>
        <vt:i4>327766</vt:i4>
      </vt:variant>
      <vt:variant>
        <vt:i4>0</vt:i4>
      </vt:variant>
      <vt:variant>
        <vt:i4>0</vt:i4>
      </vt:variant>
      <vt:variant>
        <vt:i4>5</vt:i4>
      </vt:variant>
      <vt:variant>
        <vt:lpwstr>http://www.ons.gov.uk/ons/rel/wellbeing/measuring-subjective-wellbeing-in-the-uk/first-annual-ons-experimental-subjective-well-being-results/first-ons-annual-experimental-subjective-well-being-results.html</vt:lpwstr>
      </vt:variant>
      <vt:variant>
        <vt:lpwstr>tab-abstract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Sussex Public Health Data Briefing    Issue 1: August 2012</dc:title>
  <dc:creator>Natalie Mears</dc:creator>
  <cp:lastModifiedBy>Rachel Jevons</cp:lastModifiedBy>
  <cp:revision>2</cp:revision>
  <cp:lastPrinted>2012-08-09T12:08:00Z</cp:lastPrinted>
  <dcterms:created xsi:type="dcterms:W3CDTF">2015-10-01T11:22:00Z</dcterms:created>
  <dcterms:modified xsi:type="dcterms:W3CDTF">2015-10-01T11:22:00Z</dcterms:modified>
</cp:coreProperties>
</file>