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6E4" w:rsidRPr="00495B54" w:rsidRDefault="00B768DD">
      <w:pPr>
        <w:rPr>
          <w:rFonts w:asciiTheme="minorHAnsi" w:hAnsiTheme="minorHAnsi" w:cstheme="minorHAnsi"/>
          <w:b/>
          <w:color w:val="F79646" w:themeColor="accent6"/>
          <w:sz w:val="28"/>
        </w:rPr>
      </w:pPr>
      <w:bookmarkStart w:id="0" w:name="_GoBack"/>
      <w:bookmarkEnd w:id="0"/>
      <w:r w:rsidRPr="00495B54">
        <w:rPr>
          <w:rFonts w:asciiTheme="minorHAnsi" w:hAnsiTheme="minorHAnsi" w:cstheme="minorHAnsi"/>
          <w:b/>
          <w:color w:val="F79646" w:themeColor="accent6"/>
          <w:sz w:val="28"/>
        </w:rPr>
        <w:t>Life Expectancy at Birth in West Sussex 2001-2012</w:t>
      </w:r>
    </w:p>
    <w:p w:rsidR="00B768DD" w:rsidRPr="00757B21" w:rsidRDefault="0014288E">
      <w:pPr>
        <w:rPr>
          <w:rFonts w:asciiTheme="minorHAnsi" w:hAnsiTheme="minorHAnsi" w:cstheme="minorHAnsi"/>
          <w:b/>
          <w:color w:val="F79646" w:themeColor="accent6"/>
        </w:rPr>
      </w:pPr>
      <w:r>
        <w:rPr>
          <w:rFonts w:asciiTheme="minorHAnsi" w:hAnsiTheme="minorHAnsi" w:cstheme="minorHAnsi"/>
          <w:b/>
          <w:color w:val="F79646" w:themeColor="accent6"/>
        </w:rPr>
        <w:t xml:space="preserve">Data </w:t>
      </w:r>
      <w:r w:rsidR="00B768DD" w:rsidRPr="00757B21">
        <w:rPr>
          <w:rFonts w:asciiTheme="minorHAnsi" w:hAnsiTheme="minorHAnsi" w:cstheme="minorHAnsi"/>
          <w:b/>
          <w:color w:val="F79646" w:themeColor="accent6"/>
        </w:rPr>
        <w:t>Briefing</w:t>
      </w:r>
    </w:p>
    <w:p w:rsidR="00B768DD" w:rsidRPr="00757B21" w:rsidRDefault="00AC53AD">
      <w:pPr>
        <w:rPr>
          <w:rFonts w:asciiTheme="minorHAnsi" w:hAnsiTheme="minorHAnsi" w:cstheme="minorHAnsi"/>
          <w:b/>
        </w:rPr>
      </w:pPr>
      <w:r w:rsidRPr="00757B21">
        <w:rPr>
          <w:rFonts w:asciiTheme="minorHAnsi" w:hAnsiTheme="minorHAnsi" w:cstheme="minorHAnsi"/>
          <w:b/>
        </w:rPr>
        <w:t>Key Points</w:t>
      </w:r>
    </w:p>
    <w:p w:rsidR="004E6CD9" w:rsidRPr="00757B21" w:rsidRDefault="004E6CD9" w:rsidP="00757B21">
      <w:pPr>
        <w:pStyle w:val="ListParagraph"/>
        <w:numPr>
          <w:ilvl w:val="0"/>
          <w:numId w:val="1"/>
        </w:numPr>
        <w:rPr>
          <w:rFonts w:asciiTheme="minorHAnsi" w:hAnsiTheme="minorHAnsi" w:cstheme="minorHAnsi"/>
        </w:rPr>
      </w:pPr>
      <w:r w:rsidRPr="00757B21">
        <w:rPr>
          <w:rFonts w:asciiTheme="minorHAnsi" w:hAnsiTheme="minorHAnsi" w:cstheme="minorHAnsi"/>
        </w:rPr>
        <w:t xml:space="preserve">Life expectancy (LE) figures were calculated for both </w:t>
      </w:r>
      <w:r w:rsidR="0008149D" w:rsidRPr="00757B21">
        <w:rPr>
          <w:rFonts w:asciiTheme="minorHAnsi" w:hAnsiTheme="minorHAnsi" w:cstheme="minorHAnsi"/>
        </w:rPr>
        <w:t xml:space="preserve">men and women for West Sussex and constituent districts and for each deprivation </w:t>
      </w:r>
      <w:proofErr w:type="spellStart"/>
      <w:r w:rsidR="0008149D" w:rsidRPr="00757B21">
        <w:rPr>
          <w:rFonts w:asciiTheme="minorHAnsi" w:hAnsiTheme="minorHAnsi" w:cstheme="minorHAnsi"/>
        </w:rPr>
        <w:t>decile</w:t>
      </w:r>
      <w:proofErr w:type="spellEnd"/>
      <w:r w:rsidR="0008149D" w:rsidRPr="00757B21">
        <w:rPr>
          <w:rFonts w:asciiTheme="minorHAnsi" w:hAnsiTheme="minorHAnsi" w:cstheme="minorHAnsi"/>
        </w:rPr>
        <w:t xml:space="preserve"> (tenth) of the county for each 3 year period 2001-2003 to 2010-2012 in order to examine trends over time.</w:t>
      </w:r>
    </w:p>
    <w:p w:rsidR="0008149D" w:rsidRPr="00757B21" w:rsidRDefault="0008149D" w:rsidP="00B05F1C">
      <w:pPr>
        <w:pStyle w:val="ListParagraph"/>
        <w:numPr>
          <w:ilvl w:val="0"/>
          <w:numId w:val="1"/>
        </w:numPr>
        <w:rPr>
          <w:rFonts w:asciiTheme="minorHAnsi" w:hAnsiTheme="minorHAnsi" w:cstheme="minorHAnsi"/>
        </w:rPr>
      </w:pPr>
      <w:r w:rsidRPr="00757B21">
        <w:rPr>
          <w:rFonts w:asciiTheme="minorHAnsi" w:hAnsiTheme="minorHAnsi" w:cstheme="minorHAnsi"/>
        </w:rPr>
        <w:t xml:space="preserve">Life expectancy figures were also calculated </w:t>
      </w:r>
      <w:r w:rsidR="007673AC" w:rsidRPr="00757B21">
        <w:rPr>
          <w:rFonts w:asciiTheme="minorHAnsi" w:hAnsiTheme="minorHAnsi" w:cstheme="minorHAnsi"/>
        </w:rPr>
        <w:t xml:space="preserve">at ward level </w:t>
      </w:r>
      <w:r w:rsidRPr="00757B21">
        <w:rPr>
          <w:rFonts w:asciiTheme="minorHAnsi" w:hAnsiTheme="minorHAnsi" w:cstheme="minorHAnsi"/>
        </w:rPr>
        <w:t xml:space="preserve">for all persons for two 6 year periods; 2001-2006 and 2007-2012. </w:t>
      </w:r>
      <w:r w:rsidR="00B05F1C" w:rsidRPr="00B05F1C">
        <w:rPr>
          <w:rFonts w:asciiTheme="minorHAnsi" w:hAnsiTheme="minorHAnsi" w:cstheme="minorHAnsi"/>
        </w:rPr>
        <w:t>Due to the lo</w:t>
      </w:r>
      <w:r w:rsidR="00B05F1C">
        <w:rPr>
          <w:rFonts w:asciiTheme="minorHAnsi" w:hAnsiTheme="minorHAnsi" w:cstheme="minorHAnsi"/>
        </w:rPr>
        <w:t>w annual number of deaths</w:t>
      </w:r>
      <w:r w:rsidR="00B05F1C" w:rsidRPr="00B05F1C">
        <w:rPr>
          <w:rFonts w:asciiTheme="minorHAnsi" w:hAnsiTheme="minorHAnsi" w:cstheme="minorHAnsi"/>
        </w:rPr>
        <w:t xml:space="preserve"> in small areas, more years need to be pooled in order to generate enough data to calculat</w:t>
      </w:r>
      <w:r w:rsidR="00B05F1C">
        <w:rPr>
          <w:rFonts w:asciiTheme="minorHAnsi" w:hAnsiTheme="minorHAnsi" w:cstheme="minorHAnsi"/>
        </w:rPr>
        <w:t>e ward level life expectancy.</w:t>
      </w:r>
    </w:p>
    <w:p w:rsidR="00E55EE5" w:rsidRDefault="00301548" w:rsidP="00757B21">
      <w:pPr>
        <w:pStyle w:val="ListParagraph"/>
        <w:numPr>
          <w:ilvl w:val="0"/>
          <w:numId w:val="1"/>
        </w:numPr>
        <w:rPr>
          <w:rFonts w:asciiTheme="minorHAnsi" w:hAnsiTheme="minorHAnsi" w:cstheme="minorHAnsi"/>
        </w:rPr>
      </w:pPr>
      <w:r w:rsidRPr="00757B21">
        <w:rPr>
          <w:rFonts w:asciiTheme="minorHAnsi" w:hAnsiTheme="minorHAnsi" w:cstheme="minorHAnsi"/>
        </w:rPr>
        <w:t>L</w:t>
      </w:r>
      <w:r w:rsidR="0065417B">
        <w:rPr>
          <w:rFonts w:asciiTheme="minorHAnsi" w:hAnsiTheme="minorHAnsi" w:cstheme="minorHAnsi"/>
        </w:rPr>
        <w:t>ife expectancy in West Sussex was</w:t>
      </w:r>
      <w:r w:rsidRPr="00757B21">
        <w:rPr>
          <w:rFonts w:asciiTheme="minorHAnsi" w:hAnsiTheme="minorHAnsi" w:cstheme="minorHAnsi"/>
        </w:rPr>
        <w:t xml:space="preserve"> </w:t>
      </w:r>
      <w:r w:rsidR="0065417B">
        <w:rPr>
          <w:rFonts w:asciiTheme="minorHAnsi" w:hAnsiTheme="minorHAnsi" w:cstheme="minorHAnsi"/>
        </w:rPr>
        <w:t xml:space="preserve">80.5 </w:t>
      </w:r>
      <w:r w:rsidR="00B05F1C">
        <w:rPr>
          <w:rFonts w:asciiTheme="minorHAnsi" w:hAnsiTheme="minorHAnsi" w:cstheme="minorHAnsi"/>
        </w:rPr>
        <w:t xml:space="preserve">years </w:t>
      </w:r>
      <w:r w:rsidR="0065417B">
        <w:rPr>
          <w:rFonts w:asciiTheme="minorHAnsi" w:hAnsiTheme="minorHAnsi" w:cstheme="minorHAnsi"/>
        </w:rPr>
        <w:t xml:space="preserve">for men and 83.9 </w:t>
      </w:r>
      <w:r w:rsidR="00B05F1C">
        <w:rPr>
          <w:rFonts w:asciiTheme="minorHAnsi" w:hAnsiTheme="minorHAnsi" w:cstheme="minorHAnsi"/>
        </w:rPr>
        <w:t xml:space="preserve">years </w:t>
      </w:r>
      <w:r w:rsidR="0065417B">
        <w:rPr>
          <w:rFonts w:asciiTheme="minorHAnsi" w:hAnsiTheme="minorHAnsi" w:cstheme="minorHAnsi"/>
        </w:rPr>
        <w:t xml:space="preserve">for women in 2010-2012 combined, up from 77.7 </w:t>
      </w:r>
      <w:r w:rsidR="00B05F1C">
        <w:rPr>
          <w:rFonts w:asciiTheme="minorHAnsi" w:hAnsiTheme="minorHAnsi" w:cstheme="minorHAnsi"/>
        </w:rPr>
        <w:t xml:space="preserve">years </w:t>
      </w:r>
      <w:r w:rsidR="0065417B">
        <w:rPr>
          <w:rFonts w:asciiTheme="minorHAnsi" w:hAnsiTheme="minorHAnsi" w:cstheme="minorHAnsi"/>
        </w:rPr>
        <w:t xml:space="preserve">and 81.9 </w:t>
      </w:r>
      <w:r w:rsidR="00B05F1C">
        <w:rPr>
          <w:rFonts w:asciiTheme="minorHAnsi" w:hAnsiTheme="minorHAnsi" w:cstheme="minorHAnsi"/>
        </w:rPr>
        <w:t xml:space="preserve">years </w:t>
      </w:r>
      <w:r w:rsidR="0065417B">
        <w:rPr>
          <w:rFonts w:asciiTheme="minorHAnsi" w:hAnsiTheme="minorHAnsi" w:cstheme="minorHAnsi"/>
        </w:rPr>
        <w:t>in 2001-2003 combined.</w:t>
      </w:r>
    </w:p>
    <w:p w:rsidR="0065417B" w:rsidRPr="00757B21" w:rsidRDefault="0065417B" w:rsidP="00757B21">
      <w:pPr>
        <w:pStyle w:val="ListParagraph"/>
        <w:numPr>
          <w:ilvl w:val="0"/>
          <w:numId w:val="1"/>
        </w:numPr>
        <w:rPr>
          <w:rFonts w:asciiTheme="minorHAnsi" w:hAnsiTheme="minorHAnsi" w:cstheme="minorHAnsi"/>
        </w:rPr>
      </w:pPr>
      <w:r>
        <w:rPr>
          <w:rFonts w:asciiTheme="minorHAnsi" w:hAnsiTheme="minorHAnsi" w:cstheme="minorHAnsi"/>
        </w:rPr>
        <w:t xml:space="preserve">Life expectancy improved for men and women in every district </w:t>
      </w:r>
      <w:r w:rsidR="00B05F1C">
        <w:rPr>
          <w:rFonts w:asciiTheme="minorHAnsi" w:hAnsiTheme="minorHAnsi" w:cstheme="minorHAnsi"/>
        </w:rPr>
        <w:t xml:space="preserve">and borough </w:t>
      </w:r>
      <w:r>
        <w:rPr>
          <w:rFonts w:asciiTheme="minorHAnsi" w:hAnsiTheme="minorHAnsi" w:cstheme="minorHAnsi"/>
        </w:rPr>
        <w:t>of West Sussex between these time periods.</w:t>
      </w:r>
    </w:p>
    <w:p w:rsidR="00E55EE5" w:rsidRPr="00757B21" w:rsidRDefault="00E55EE5" w:rsidP="00757B21">
      <w:pPr>
        <w:pStyle w:val="ListParagraph"/>
        <w:numPr>
          <w:ilvl w:val="0"/>
          <w:numId w:val="1"/>
        </w:numPr>
        <w:rPr>
          <w:rFonts w:asciiTheme="minorHAnsi" w:hAnsiTheme="minorHAnsi" w:cstheme="minorHAnsi"/>
        </w:rPr>
      </w:pPr>
      <w:r w:rsidRPr="00757B21">
        <w:rPr>
          <w:rFonts w:asciiTheme="minorHAnsi" w:hAnsiTheme="minorHAnsi" w:cstheme="minorHAnsi"/>
        </w:rPr>
        <w:t xml:space="preserve">Life expectancy figures for women do not differ significantly by district but figures for men are lower </w:t>
      </w:r>
      <w:r w:rsidR="000530DB">
        <w:rPr>
          <w:rFonts w:asciiTheme="minorHAnsi" w:hAnsiTheme="minorHAnsi" w:cstheme="minorHAnsi"/>
        </w:rPr>
        <w:t xml:space="preserve">than the West Sussex average </w:t>
      </w:r>
      <w:r w:rsidRPr="00757B21">
        <w:rPr>
          <w:rFonts w:asciiTheme="minorHAnsi" w:hAnsiTheme="minorHAnsi" w:cstheme="minorHAnsi"/>
        </w:rPr>
        <w:t xml:space="preserve">in </w:t>
      </w:r>
      <w:proofErr w:type="spellStart"/>
      <w:r w:rsidRPr="00757B21">
        <w:rPr>
          <w:rFonts w:asciiTheme="minorHAnsi" w:hAnsiTheme="minorHAnsi" w:cstheme="minorHAnsi"/>
        </w:rPr>
        <w:t>Arun</w:t>
      </w:r>
      <w:proofErr w:type="spellEnd"/>
      <w:r w:rsidRPr="00757B21">
        <w:rPr>
          <w:rFonts w:asciiTheme="minorHAnsi" w:hAnsiTheme="minorHAnsi" w:cstheme="minorHAnsi"/>
        </w:rPr>
        <w:t xml:space="preserve"> and Worthing and </w:t>
      </w:r>
      <w:r w:rsidR="00B05F1C">
        <w:rPr>
          <w:rFonts w:asciiTheme="minorHAnsi" w:hAnsiTheme="minorHAnsi" w:cstheme="minorHAnsi"/>
        </w:rPr>
        <w:t>h</w:t>
      </w:r>
      <w:r w:rsidRPr="00757B21">
        <w:rPr>
          <w:rFonts w:asciiTheme="minorHAnsi" w:hAnsiTheme="minorHAnsi" w:cstheme="minorHAnsi"/>
        </w:rPr>
        <w:t>igher in Horsham and Mid Sussex.</w:t>
      </w:r>
      <w:r w:rsidR="008621A0" w:rsidRPr="00757B21">
        <w:rPr>
          <w:rFonts w:asciiTheme="minorHAnsi" w:hAnsiTheme="minorHAnsi" w:cstheme="minorHAnsi"/>
        </w:rPr>
        <w:t xml:space="preserve"> </w:t>
      </w:r>
    </w:p>
    <w:p w:rsidR="00AC53AD" w:rsidRPr="00757B21" w:rsidRDefault="00AC53AD" w:rsidP="00757B21">
      <w:pPr>
        <w:pStyle w:val="ListParagraph"/>
        <w:numPr>
          <w:ilvl w:val="0"/>
          <w:numId w:val="1"/>
        </w:numPr>
        <w:rPr>
          <w:rFonts w:asciiTheme="minorHAnsi" w:hAnsiTheme="minorHAnsi" w:cstheme="minorHAnsi"/>
        </w:rPr>
      </w:pPr>
      <w:r w:rsidRPr="00757B21">
        <w:rPr>
          <w:rFonts w:asciiTheme="minorHAnsi" w:hAnsiTheme="minorHAnsi" w:cstheme="minorHAnsi"/>
        </w:rPr>
        <w:t>The life expectancy gap betwe</w:t>
      </w:r>
      <w:r w:rsidR="006F7F7B" w:rsidRPr="00757B21">
        <w:rPr>
          <w:rFonts w:asciiTheme="minorHAnsi" w:hAnsiTheme="minorHAnsi" w:cstheme="minorHAnsi"/>
        </w:rPr>
        <w:t xml:space="preserve">en </w:t>
      </w:r>
      <w:r w:rsidR="00B05F1C">
        <w:rPr>
          <w:rFonts w:asciiTheme="minorHAnsi" w:hAnsiTheme="minorHAnsi" w:cstheme="minorHAnsi"/>
        </w:rPr>
        <w:t xml:space="preserve">electoral </w:t>
      </w:r>
      <w:r w:rsidR="006F7F7B" w:rsidRPr="00757B21">
        <w:rPr>
          <w:rFonts w:asciiTheme="minorHAnsi" w:hAnsiTheme="minorHAnsi" w:cstheme="minorHAnsi"/>
        </w:rPr>
        <w:t xml:space="preserve">wards has increased from 12.2 years in </w:t>
      </w:r>
      <w:r w:rsidR="00B05F1C">
        <w:rPr>
          <w:rFonts w:asciiTheme="minorHAnsi" w:hAnsiTheme="minorHAnsi" w:cstheme="minorHAnsi"/>
        </w:rPr>
        <w:t>20</w:t>
      </w:r>
      <w:r w:rsidR="006F7F7B" w:rsidRPr="00757B21">
        <w:rPr>
          <w:rFonts w:asciiTheme="minorHAnsi" w:hAnsiTheme="minorHAnsi" w:cstheme="minorHAnsi"/>
        </w:rPr>
        <w:t>01-06 to 15.1</w:t>
      </w:r>
      <w:r w:rsidRPr="00757B21">
        <w:rPr>
          <w:rFonts w:asciiTheme="minorHAnsi" w:hAnsiTheme="minorHAnsi" w:cstheme="minorHAnsi"/>
        </w:rPr>
        <w:t xml:space="preserve"> years in </w:t>
      </w:r>
      <w:r w:rsidR="00B05F1C">
        <w:rPr>
          <w:rFonts w:asciiTheme="minorHAnsi" w:hAnsiTheme="minorHAnsi" w:cstheme="minorHAnsi"/>
        </w:rPr>
        <w:t>20</w:t>
      </w:r>
      <w:r w:rsidRPr="00757B21">
        <w:rPr>
          <w:rFonts w:asciiTheme="minorHAnsi" w:hAnsiTheme="minorHAnsi" w:cstheme="minorHAnsi"/>
        </w:rPr>
        <w:t xml:space="preserve">07-12 </w:t>
      </w:r>
      <w:r w:rsidR="006F7F7B" w:rsidRPr="00757B21">
        <w:rPr>
          <w:rFonts w:asciiTheme="minorHAnsi" w:hAnsiTheme="minorHAnsi" w:cstheme="minorHAnsi"/>
        </w:rPr>
        <w:t xml:space="preserve">(for wards with </w:t>
      </w:r>
      <w:r w:rsidR="007673AC" w:rsidRPr="00757B21">
        <w:rPr>
          <w:rFonts w:asciiTheme="minorHAnsi" w:hAnsiTheme="minorHAnsi" w:cstheme="minorHAnsi"/>
        </w:rPr>
        <w:t>higher</w:t>
      </w:r>
      <w:r w:rsidR="006F7F7B" w:rsidRPr="00757B21">
        <w:rPr>
          <w:rFonts w:asciiTheme="minorHAnsi" w:hAnsiTheme="minorHAnsi" w:cstheme="minorHAnsi"/>
        </w:rPr>
        <w:t xml:space="preserve"> certainty </w:t>
      </w:r>
      <w:r w:rsidR="007673AC" w:rsidRPr="00757B21">
        <w:rPr>
          <w:rFonts w:asciiTheme="minorHAnsi" w:hAnsiTheme="minorHAnsi" w:cstheme="minorHAnsi"/>
        </w:rPr>
        <w:t xml:space="preserve">around the data </w:t>
      </w:r>
      <w:r w:rsidR="006F7F7B" w:rsidRPr="00757B21">
        <w:rPr>
          <w:rFonts w:asciiTheme="minorHAnsi" w:hAnsiTheme="minorHAnsi" w:cstheme="minorHAnsi"/>
        </w:rPr>
        <w:t xml:space="preserve">the differences were 11.7 and 13.2 years) </w:t>
      </w:r>
      <w:r w:rsidRPr="00757B21">
        <w:rPr>
          <w:rFonts w:asciiTheme="minorHAnsi" w:hAnsiTheme="minorHAnsi" w:cstheme="minorHAnsi"/>
        </w:rPr>
        <w:t>although this change is not statistically significant.</w:t>
      </w:r>
    </w:p>
    <w:p w:rsidR="00AC53AD" w:rsidRPr="00757B21" w:rsidRDefault="00B05F1C" w:rsidP="00757B21">
      <w:pPr>
        <w:pStyle w:val="ListParagraph"/>
        <w:numPr>
          <w:ilvl w:val="0"/>
          <w:numId w:val="1"/>
        </w:numPr>
        <w:rPr>
          <w:rFonts w:asciiTheme="minorHAnsi" w:hAnsiTheme="minorHAnsi" w:cstheme="minorHAnsi"/>
        </w:rPr>
      </w:pPr>
      <w:r>
        <w:rPr>
          <w:rFonts w:asciiTheme="minorHAnsi" w:hAnsiTheme="minorHAnsi" w:cstheme="minorHAnsi"/>
        </w:rPr>
        <w:t>When combined, p</w:t>
      </w:r>
      <w:r w:rsidR="007673AC" w:rsidRPr="00757B21">
        <w:rPr>
          <w:rFonts w:asciiTheme="minorHAnsi" w:hAnsiTheme="minorHAnsi" w:cstheme="minorHAnsi"/>
        </w:rPr>
        <w:t>roportion of p</w:t>
      </w:r>
      <w:r w:rsidR="00E55EE5" w:rsidRPr="00757B21">
        <w:rPr>
          <w:rFonts w:asciiTheme="minorHAnsi" w:hAnsiTheme="minorHAnsi" w:cstheme="minorHAnsi"/>
        </w:rPr>
        <w:t>opulation in care homes and</w:t>
      </w:r>
      <w:r w:rsidR="00AC53AD" w:rsidRPr="00757B21">
        <w:rPr>
          <w:rFonts w:asciiTheme="minorHAnsi" w:hAnsiTheme="minorHAnsi" w:cstheme="minorHAnsi"/>
        </w:rPr>
        <w:t xml:space="preserve"> older person poverty </w:t>
      </w:r>
      <w:r w:rsidR="00E55EE5" w:rsidRPr="00757B21">
        <w:rPr>
          <w:rFonts w:asciiTheme="minorHAnsi" w:hAnsiTheme="minorHAnsi" w:cstheme="minorHAnsi"/>
        </w:rPr>
        <w:t>accounted for 70</w:t>
      </w:r>
      <w:r w:rsidR="00AC53AD" w:rsidRPr="00757B21">
        <w:rPr>
          <w:rFonts w:asciiTheme="minorHAnsi" w:hAnsiTheme="minorHAnsi" w:cstheme="minorHAnsi"/>
        </w:rPr>
        <w:t>% of the difference in life expectancy at ward level.</w:t>
      </w:r>
      <w:r w:rsidR="00007BEE" w:rsidRPr="00757B21">
        <w:rPr>
          <w:rFonts w:asciiTheme="minorHAnsi" w:hAnsiTheme="minorHAnsi" w:cstheme="minorHAnsi"/>
        </w:rPr>
        <w:t xml:space="preserve"> A</w:t>
      </w:r>
      <w:r>
        <w:rPr>
          <w:rFonts w:asciiTheme="minorHAnsi" w:hAnsiTheme="minorHAnsi" w:cstheme="minorHAnsi"/>
        </w:rPr>
        <w:t>fter adjustment for population in care homes, a</w:t>
      </w:r>
      <w:r w:rsidR="00A00F54">
        <w:rPr>
          <w:rFonts w:asciiTheme="minorHAnsi" w:hAnsiTheme="minorHAnsi" w:cstheme="minorHAnsi"/>
        </w:rPr>
        <w:t xml:space="preserve"> 5</w:t>
      </w:r>
      <w:r w:rsidR="00007BEE" w:rsidRPr="00757B21">
        <w:rPr>
          <w:rFonts w:asciiTheme="minorHAnsi" w:hAnsiTheme="minorHAnsi" w:cstheme="minorHAnsi"/>
        </w:rPr>
        <w:t>% rise in older person poverty was associated with a</w:t>
      </w:r>
      <w:r w:rsidR="005038FD">
        <w:rPr>
          <w:rFonts w:asciiTheme="minorHAnsi" w:hAnsiTheme="minorHAnsi" w:cstheme="minorHAnsi"/>
        </w:rPr>
        <w:t xml:space="preserve"> 1 year drop in life expectancy</w:t>
      </w:r>
      <w:r w:rsidR="00007BEE" w:rsidRPr="00757B21">
        <w:rPr>
          <w:rFonts w:asciiTheme="minorHAnsi" w:hAnsiTheme="minorHAnsi" w:cstheme="minorHAnsi"/>
        </w:rPr>
        <w:t>.</w:t>
      </w:r>
    </w:p>
    <w:p w:rsidR="00B05F1C" w:rsidRDefault="00B05F1C" w:rsidP="00B05F1C">
      <w:pPr>
        <w:pStyle w:val="ListParagraph"/>
        <w:numPr>
          <w:ilvl w:val="0"/>
          <w:numId w:val="1"/>
        </w:numPr>
        <w:rPr>
          <w:rFonts w:asciiTheme="minorHAnsi" w:hAnsiTheme="minorHAnsi" w:cstheme="minorHAnsi"/>
        </w:rPr>
      </w:pPr>
      <w:r w:rsidRPr="00B05F1C">
        <w:rPr>
          <w:rFonts w:asciiTheme="minorHAnsi" w:hAnsiTheme="minorHAnsi" w:cstheme="minorHAnsi"/>
        </w:rPr>
        <w:t>Of the wards where life expectancy was significantly different from the West Sussex average (either higher or lower) in 2001-06, 76% remained significantly different in 2007-12</w:t>
      </w:r>
      <w:r w:rsidR="0014288E">
        <w:rPr>
          <w:rFonts w:asciiTheme="minorHAnsi" w:hAnsiTheme="minorHAnsi" w:cstheme="minorHAnsi"/>
        </w:rPr>
        <w:t>.</w:t>
      </w:r>
    </w:p>
    <w:p w:rsidR="00AC53AD" w:rsidRDefault="00AF7A55" w:rsidP="00B05F1C">
      <w:pPr>
        <w:pStyle w:val="ListParagraph"/>
        <w:numPr>
          <w:ilvl w:val="0"/>
          <w:numId w:val="1"/>
        </w:numPr>
        <w:rPr>
          <w:rFonts w:asciiTheme="minorHAnsi" w:hAnsiTheme="minorHAnsi" w:cstheme="minorHAnsi"/>
        </w:rPr>
      </w:pPr>
      <w:r w:rsidRPr="00757B21">
        <w:rPr>
          <w:rFonts w:asciiTheme="minorHAnsi" w:hAnsiTheme="minorHAnsi" w:cstheme="minorHAnsi"/>
        </w:rPr>
        <w:t>T</w:t>
      </w:r>
      <w:r w:rsidR="00AC53AD" w:rsidRPr="00757B21">
        <w:rPr>
          <w:rFonts w:asciiTheme="minorHAnsi" w:hAnsiTheme="minorHAnsi" w:cstheme="minorHAnsi"/>
        </w:rPr>
        <w:t>he social gradi</w:t>
      </w:r>
      <w:r w:rsidRPr="00757B21">
        <w:rPr>
          <w:rFonts w:asciiTheme="minorHAnsi" w:hAnsiTheme="minorHAnsi" w:cstheme="minorHAnsi"/>
        </w:rPr>
        <w:t>ent in li</w:t>
      </w:r>
      <w:r w:rsidR="008621A0" w:rsidRPr="00757B21">
        <w:rPr>
          <w:rFonts w:asciiTheme="minorHAnsi" w:hAnsiTheme="minorHAnsi" w:cstheme="minorHAnsi"/>
        </w:rPr>
        <w:t xml:space="preserve">fe expectancy </w:t>
      </w:r>
      <w:r w:rsidR="00B05F1C">
        <w:rPr>
          <w:rFonts w:asciiTheme="minorHAnsi" w:hAnsiTheme="minorHAnsi" w:cstheme="minorHAnsi"/>
        </w:rPr>
        <w:t xml:space="preserve">(the average change associated with a 1 </w:t>
      </w:r>
      <w:proofErr w:type="spellStart"/>
      <w:r w:rsidR="00B05F1C">
        <w:rPr>
          <w:rFonts w:asciiTheme="minorHAnsi" w:hAnsiTheme="minorHAnsi" w:cstheme="minorHAnsi"/>
        </w:rPr>
        <w:t>decile</w:t>
      </w:r>
      <w:proofErr w:type="spellEnd"/>
      <w:r w:rsidR="00B05F1C">
        <w:rPr>
          <w:rFonts w:asciiTheme="minorHAnsi" w:hAnsiTheme="minorHAnsi" w:cstheme="minorHAnsi"/>
        </w:rPr>
        <w:t xml:space="preserve"> shift in deprivation) </w:t>
      </w:r>
      <w:r w:rsidR="008621A0" w:rsidRPr="00757B21">
        <w:rPr>
          <w:rFonts w:asciiTheme="minorHAnsi" w:hAnsiTheme="minorHAnsi" w:cstheme="minorHAnsi"/>
        </w:rPr>
        <w:t>increased</w:t>
      </w:r>
      <w:r w:rsidRPr="00757B21">
        <w:rPr>
          <w:rFonts w:asciiTheme="minorHAnsi" w:hAnsiTheme="minorHAnsi" w:cstheme="minorHAnsi"/>
        </w:rPr>
        <w:t xml:space="preserve"> for both men and wom</w:t>
      </w:r>
      <w:r w:rsidR="00482C5B">
        <w:rPr>
          <w:rFonts w:asciiTheme="minorHAnsi" w:hAnsiTheme="minorHAnsi" w:cstheme="minorHAnsi"/>
        </w:rPr>
        <w:t>en between 2001-03 and 2010-12 an indication that while LE improved across the board, health inequalities have been increasing.</w:t>
      </w:r>
    </w:p>
    <w:p w:rsidR="0014288E" w:rsidRPr="00757B21" w:rsidRDefault="0014288E" w:rsidP="00B05F1C">
      <w:pPr>
        <w:pStyle w:val="ListParagraph"/>
        <w:numPr>
          <w:ilvl w:val="0"/>
          <w:numId w:val="1"/>
        </w:numPr>
        <w:rPr>
          <w:rFonts w:asciiTheme="minorHAnsi" w:hAnsiTheme="minorHAnsi" w:cstheme="minorHAnsi"/>
        </w:rPr>
      </w:pPr>
      <w:r>
        <w:rPr>
          <w:rFonts w:asciiTheme="minorHAnsi" w:hAnsiTheme="minorHAnsi" w:cstheme="minorHAnsi"/>
        </w:rPr>
        <w:t>Causes of death have not been examined as part of this briefing.</w:t>
      </w:r>
    </w:p>
    <w:p w:rsidR="00757B21" w:rsidRPr="00757B21" w:rsidRDefault="00757B21">
      <w:pPr>
        <w:rPr>
          <w:rFonts w:asciiTheme="minorHAnsi" w:hAnsiTheme="minorHAnsi" w:cstheme="minorHAnsi"/>
          <w:b/>
        </w:rPr>
      </w:pPr>
    </w:p>
    <w:p w:rsidR="008D32BD" w:rsidRDefault="008D32BD" w:rsidP="008D32BD">
      <w:pPr>
        <w:rPr>
          <w:rFonts w:asciiTheme="minorHAnsi" w:hAnsiTheme="minorHAnsi" w:cstheme="minorHAnsi"/>
          <w:b/>
        </w:rPr>
      </w:pPr>
      <w:r>
        <w:rPr>
          <w:rFonts w:asciiTheme="minorHAnsi" w:hAnsiTheme="minorHAnsi" w:cstheme="minorHAnsi"/>
          <w:b/>
        </w:rPr>
        <w:t xml:space="preserve">All data presented in this report are available for download at </w:t>
      </w:r>
      <w:hyperlink r:id="rId9" w:history="1">
        <w:r w:rsidRPr="00B84250">
          <w:rPr>
            <w:rStyle w:val="Hyperlink"/>
            <w:rFonts w:asciiTheme="minorHAnsi" w:hAnsiTheme="minorHAnsi" w:cstheme="minorHAnsi"/>
            <w:b/>
          </w:rPr>
          <w:t>http://jsna.westsussex.gov.uk/jsna-Core-dataset</w:t>
        </w:r>
      </w:hyperlink>
      <w:r>
        <w:rPr>
          <w:rFonts w:asciiTheme="minorHAnsi" w:hAnsiTheme="minorHAnsi" w:cstheme="minorHAnsi"/>
          <w:b/>
        </w:rPr>
        <w:t xml:space="preserve"> </w:t>
      </w:r>
    </w:p>
    <w:p w:rsidR="00757B21" w:rsidRPr="00757B21" w:rsidRDefault="00757B21">
      <w:pPr>
        <w:rPr>
          <w:rFonts w:asciiTheme="minorHAnsi" w:hAnsiTheme="minorHAnsi" w:cstheme="minorHAnsi"/>
          <w:b/>
        </w:rPr>
      </w:pPr>
    </w:p>
    <w:p w:rsidR="00757B21" w:rsidRPr="00757B21" w:rsidRDefault="00757B21">
      <w:pPr>
        <w:rPr>
          <w:rFonts w:asciiTheme="minorHAnsi" w:hAnsiTheme="minorHAnsi" w:cstheme="minorHAnsi"/>
          <w:b/>
        </w:rPr>
      </w:pPr>
    </w:p>
    <w:p w:rsidR="00757B21" w:rsidRPr="00757B21" w:rsidRDefault="008123B3">
      <w:pPr>
        <w:rPr>
          <w:rFonts w:asciiTheme="minorHAnsi" w:hAnsiTheme="minorHAnsi" w:cstheme="minorHAnsi"/>
          <w:b/>
        </w:rPr>
      </w:pPr>
      <w:r w:rsidRPr="008123B3">
        <w:rPr>
          <w:rFonts w:asciiTheme="minorHAnsi" w:hAnsiTheme="minorHAnsi" w:cstheme="minorHAnsi"/>
          <w:b/>
          <w:noProof/>
          <w:lang w:eastAsia="en-GB"/>
        </w:rPr>
        <mc:AlternateContent>
          <mc:Choice Requires="wps">
            <w:drawing>
              <wp:anchor distT="0" distB="0" distL="114300" distR="114300" simplePos="0" relativeHeight="251662336" behindDoc="0" locked="0" layoutInCell="1" allowOverlap="1" wp14:anchorId="729B437A" wp14:editId="4978A212">
                <wp:simplePos x="0" y="0"/>
                <wp:positionH relativeFrom="column">
                  <wp:posOffset>742561</wp:posOffset>
                </wp:positionH>
                <wp:positionV relativeFrom="paragraph">
                  <wp:posOffset>273685</wp:posOffset>
                </wp:positionV>
                <wp:extent cx="2374265" cy="1403985"/>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8123B3" w:rsidRPr="008123B3" w:rsidRDefault="008123B3" w:rsidP="008123B3">
                            <w:pPr>
                              <w:spacing w:after="0" w:line="240" w:lineRule="auto"/>
                              <w:rPr>
                                <w:b/>
                                <w:color w:val="808080" w:themeColor="background1" w:themeShade="80"/>
                                <w:sz w:val="24"/>
                              </w:rPr>
                            </w:pPr>
                            <w:r w:rsidRPr="008123B3">
                              <w:rPr>
                                <w:b/>
                                <w:color w:val="808080" w:themeColor="background1" w:themeShade="80"/>
                                <w:sz w:val="24"/>
                              </w:rPr>
                              <w:t>Public Health</w:t>
                            </w:r>
                          </w:p>
                          <w:p w:rsidR="008123B3" w:rsidRPr="008123B3" w:rsidRDefault="008123B3" w:rsidP="008123B3">
                            <w:pPr>
                              <w:spacing w:after="0" w:line="240" w:lineRule="auto"/>
                              <w:rPr>
                                <w:b/>
                                <w:color w:val="808080" w:themeColor="background1" w:themeShade="80"/>
                                <w:sz w:val="24"/>
                              </w:rPr>
                            </w:pPr>
                            <w:r w:rsidRPr="008123B3">
                              <w:rPr>
                                <w:b/>
                                <w:color w:val="808080" w:themeColor="background1" w:themeShade="80"/>
                                <w:sz w:val="24"/>
                              </w:rPr>
                              <w:t>Research Unit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8.45pt;margin-top:21.5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88NpJt4AAAAKAQAADwAAAGRycy9kb3ducmV2LnhtbEyPy07DMBBF90j8gzVI7KiTkAYa4lSI&#10;h8SyD5BYuvHkIexxFLtt+HuGFSyv5ujOudV6dlaccAqDJwXpIgGB1HgzUKfgff96cw8iRE1GW0+o&#10;4BsDrOvLi0qXxp9pi6dd7ASXUCi1gj7GsZQyND06HRZ+ROJb6yenI8epk2bSZy53VmZJUkinB+IP&#10;vR7xqcfma3d0Cj7o0761uenxbrnJt+PLc7uMe6Wur+bHBxAR5/gHw68+q0PNTgd/JBOE5ZwWK0YV&#10;5LcpCAbyVcJbDgqyIs9A1pX8P6H+AQAA//8DAFBLAQItABQABgAIAAAAIQC2gziS/gAAAOEBAAAT&#10;AAAAAAAAAAAAAAAAAAAAAABbQ29udGVudF9UeXBlc10ueG1sUEsBAi0AFAAGAAgAAAAhADj9If/W&#10;AAAAlAEAAAsAAAAAAAAAAAAAAAAALwEAAF9yZWxzLy5yZWxzUEsBAi0AFAAGAAgAAAAhAJnbZm0P&#10;AgAA9QMAAA4AAAAAAAAAAAAAAAAALgIAAGRycy9lMm9Eb2MueG1sUEsBAi0AFAAGAAgAAAAhAPPD&#10;aSbeAAAACgEAAA8AAAAAAAAAAAAAAAAAaQQAAGRycy9kb3ducmV2LnhtbFBLBQYAAAAABAAEAPMA&#10;AAB0BQAAAAA=&#10;" filled="f" stroked="f">
                <v:textbox style="mso-fit-shape-to-text:t">
                  <w:txbxContent>
                    <w:p w:rsidR="008123B3" w:rsidRPr="008123B3" w:rsidRDefault="008123B3" w:rsidP="008123B3">
                      <w:pPr>
                        <w:spacing w:after="0" w:line="240" w:lineRule="auto"/>
                        <w:rPr>
                          <w:b/>
                          <w:color w:val="808080" w:themeColor="background1" w:themeShade="80"/>
                          <w:sz w:val="24"/>
                        </w:rPr>
                      </w:pPr>
                      <w:r w:rsidRPr="008123B3">
                        <w:rPr>
                          <w:b/>
                          <w:color w:val="808080" w:themeColor="background1" w:themeShade="80"/>
                          <w:sz w:val="24"/>
                        </w:rPr>
                        <w:t>Public Health</w:t>
                      </w:r>
                    </w:p>
                    <w:p w:rsidR="008123B3" w:rsidRPr="008123B3" w:rsidRDefault="008123B3" w:rsidP="008123B3">
                      <w:pPr>
                        <w:spacing w:after="0" w:line="240" w:lineRule="auto"/>
                        <w:rPr>
                          <w:b/>
                          <w:color w:val="808080" w:themeColor="background1" w:themeShade="80"/>
                          <w:sz w:val="24"/>
                        </w:rPr>
                      </w:pPr>
                      <w:r w:rsidRPr="008123B3">
                        <w:rPr>
                          <w:b/>
                          <w:color w:val="808080" w:themeColor="background1" w:themeShade="80"/>
                          <w:sz w:val="24"/>
                        </w:rPr>
                        <w:t>Research Unit</w:t>
                      </w:r>
                    </w:p>
                  </w:txbxContent>
                </v:textbox>
              </v:shape>
            </w:pict>
          </mc:Fallback>
        </mc:AlternateContent>
      </w:r>
      <w:r>
        <w:rPr>
          <w:rFonts w:asciiTheme="minorHAnsi" w:hAnsiTheme="minorHAnsi" w:cstheme="minorHAnsi"/>
          <w:b/>
          <w:noProof/>
          <w:lang w:eastAsia="en-GB"/>
        </w:rPr>
        <mc:AlternateContent>
          <mc:Choice Requires="wpg">
            <w:drawing>
              <wp:anchor distT="0" distB="0" distL="114300" distR="114300" simplePos="0" relativeHeight="251660288" behindDoc="1" locked="0" layoutInCell="1" allowOverlap="1" wp14:anchorId="12EB800D" wp14:editId="6F9C2692">
                <wp:simplePos x="0" y="0"/>
                <wp:positionH relativeFrom="page">
                  <wp:posOffset>1655379</wp:posOffset>
                </wp:positionH>
                <wp:positionV relativeFrom="paragraph">
                  <wp:posOffset>308326</wp:posOffset>
                </wp:positionV>
                <wp:extent cx="118242" cy="386256"/>
                <wp:effectExtent l="0" t="0" r="0" b="1397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242" cy="386256"/>
                          <a:chOff x="3953" y="-153"/>
                          <a:chExt cx="2" cy="1331"/>
                        </a:xfrm>
                      </wpg:grpSpPr>
                      <wps:wsp>
                        <wps:cNvPr id="10" name="Freeform 3"/>
                        <wps:cNvSpPr>
                          <a:spLocks/>
                        </wps:cNvSpPr>
                        <wps:spPr bwMode="auto">
                          <a:xfrm>
                            <a:off x="3953" y="-153"/>
                            <a:ext cx="2" cy="1331"/>
                          </a:xfrm>
                          <a:custGeom>
                            <a:avLst/>
                            <a:gdLst>
                              <a:gd name="T0" fmla="+- 0 1178 -153"/>
                              <a:gd name="T1" fmla="*/ 1178 h 1331"/>
                              <a:gd name="T2" fmla="+- 0 -153 -153"/>
                              <a:gd name="T3" fmla="*/ -153 h 1331"/>
                            </a:gdLst>
                            <a:ahLst/>
                            <a:cxnLst>
                              <a:cxn ang="0">
                                <a:pos x="0" y="T1"/>
                              </a:cxn>
                              <a:cxn ang="0">
                                <a:pos x="0" y="T3"/>
                              </a:cxn>
                            </a:cxnLst>
                            <a:rect l="0" t="0" r="r" b="b"/>
                            <a:pathLst>
                              <a:path h="1331">
                                <a:moveTo>
                                  <a:pt x="0" y="1331"/>
                                </a:moveTo>
                                <a:lnTo>
                                  <a:pt x="0" y="0"/>
                                </a:lnTo>
                              </a:path>
                            </a:pathLst>
                          </a:custGeom>
                          <a:noFill/>
                          <a:ln w="20155">
                            <a:solidFill>
                              <a:srgbClr val="0099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130.35pt;margin-top:24.3pt;width:9.3pt;height:30.4pt;z-index:-251656192;mso-position-horizontal-relative:page" coordorigin="3953,-153" coordsize="2,1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8lpXwMAAOkHAAAOAAAAZHJzL2Uyb0RvYy54bWykVdtu2zAMfR+wfxD0uCG1nThpYtQtilyK&#10;Ad1WoNkHKLZ8wWzJk5Q43bB/H0XZSXrZBV0eHMqkycNDiry42tcV2XGlSyliGpz5lHCRyLQUeUy/&#10;rFeDKSXaMJGySgoe0weu6dXl2zcXbRPxoSxklXJFwInQUdvEtDCmiTxPJwWvmT6TDRegzKSqmYGj&#10;yr1UsRa815U39P2J10qVNkomXGt4u3BKeon+s4wn5nOWaW5IFVPAZvCp8LmxT+/ygkW5Yk1RJh0M&#10;9goUNSsFBD24WjDDyFaVz1zVZaKklpk5S2TtySwrE445QDaB/ySbGyW3DeaSR23eHGgCap/w9Gq3&#10;yafdnSJlGtMJJYLVUCKMSiaWmrbJI7C4Uc19c6dcfiDeyuSrBrX3VG/PuTMmm/ajTMEd2xqJ1Owz&#10;VVsXkDTZYwUeDhXge0MSeBkE02E4pCQB1Wg6GY4RBouSAspovxrNxiNKQDsIQMDqJcWy+7r7MBiN&#10;AqvyWORiIs4Ol00KWk0f2dT/x+Z9wRqORdKWq47NAJrN0blSnNv+JQjXBgernk59yuWJxpppoPyv&#10;LL7AR8/l79gANrfa3HCJ1WC7W22QxzwFCWucdtDXkERWV3Ah3g+IT4LgfEqOvOcHs6A3e+c5o4L0&#10;NYAbcTADQCferKMXvUF9nRl4Q6OjN6joASUreuDJXnTIQSLMTh4fO66R+thp674nwMhm+UdbrBVE&#10;Q1v334VQMFKeDhNFCQyTjWvHhhmLzIawIimgq21D2he13PG1RJU5Iuu5gjhHg0o8N8RxBVZOB4IN&#10;gH1+CGqxnlRXyFVZVVjeSpA2pjBlxmPEomVVplZr4WiVb+aVIjtm56Q/my2m3Q16ZAbzSKToreAs&#10;XXayYWXlZMRm/UEPdhzYbsRB+GPmz5bT5TQchMPJchD6i8XgejUPB5NVcD5ejBbz+SL4aaEFYVSU&#10;acqFRdcP5SD8t2varQc3Tg9j+VEWj5Jd4e95st5jGMgy5NL/Y3YwV9w1dUNlI9MHuLJKui0DWxGE&#10;QqrvlLSwYWKqv22Z4pRUHwQMnVkQhnYl4SEcnw/hoE41m1MNEwm4iqmh0OFWnBu3xraNKvMCIrkW&#10;E/IaBm5W2juN+Byq7gBzDyXcJ5hLt/vswjo9o9VxQ1/+AgAA//8DAFBLAwQUAAYACAAAACEAKdmU&#10;6uEAAAAKAQAADwAAAGRycy9kb3ducmV2LnhtbEyPwW7CMBBE75X6D9ZW6q3YCTRAiIMQantCSIVK&#10;FTcTL0lEbEexScLfd3tqj6t5mnmbrUfTsB47XzsrIZoIYGgLp2tbSvg6vr8sgPmgrFaNsyjhjh7W&#10;+eNDplLtBvuJ/SGUjEqsT5WEKoQ25dwXFRrlJ65FS9nFdUYFOruS604NVG4aHguRcKNqSwuVanFb&#10;YXE93IyEj0ENm2n01u+ul+39dHzdf+8ilPL5adysgAUcwx8Mv/qkDjk5nd3Nas8aCXEi5oRKmC0S&#10;YATE8+UU2JlIsZwBzzP+/4X8BwAA//8DAFBLAQItABQABgAIAAAAIQC2gziS/gAAAOEBAAATAAAA&#10;AAAAAAAAAAAAAAAAAABbQ29udGVudF9UeXBlc10ueG1sUEsBAi0AFAAGAAgAAAAhADj9If/WAAAA&#10;lAEAAAsAAAAAAAAAAAAAAAAALwEAAF9yZWxzLy5yZWxzUEsBAi0AFAAGAAgAAAAhAJdXyWlfAwAA&#10;6QcAAA4AAAAAAAAAAAAAAAAALgIAAGRycy9lMm9Eb2MueG1sUEsBAi0AFAAGAAgAAAAhACnZlOrh&#10;AAAACgEAAA8AAAAAAAAAAAAAAAAAuQUAAGRycy9kb3ducmV2LnhtbFBLBQYAAAAABAAEAPMAAADH&#10;BgAAAAA=&#10;">
                <v:shape id="Freeform 3" o:spid="_x0000_s1027" style="position:absolute;left:3953;top:-153;width:2;height:1331;visibility:visible;mso-wrap-style:square;v-text-anchor:top" coordsize="2,1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tq58QA&#10;AADbAAAADwAAAGRycy9kb3ducmV2LnhtbESPQWvCQBCF74L/YRmhN93Ug8TUVaQ0IBQLVfE8zU6z&#10;qdnZNLvV9N93DgVvM7w3732z2gy+VVfqYxPYwOMsA0VcBdtwbeB0LKc5qJiQLbaBycAvRdisx6MV&#10;Fjbc+J2uh1QrCeFYoAGXUldoHStHHuMsdMSifYbeY5K1r7Xt8SbhvtXzLFtojw1Lg8OOnh1Vl8OP&#10;N7DoPr7KvX2Nb/vy7F1+wvxl+W3Mw2TYPoFKNKS7+f96ZwVf6OUXGU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raufEAAAA2wAAAA8AAAAAAAAAAAAAAAAAmAIAAGRycy9k&#10;b3ducmV2LnhtbFBLBQYAAAAABAAEAPUAAACJAwAAAAA=&#10;" path="m,1331l,e" filled="f" strokecolor="#0099d8" strokeweight=".55986mm">
                  <v:path arrowok="t" o:connecttype="custom" o:connectlocs="0,1178;0,-153" o:connectangles="0,0"/>
                </v:shape>
                <w10:wrap anchorx="page"/>
              </v:group>
            </w:pict>
          </mc:Fallback>
        </mc:AlternateContent>
      </w:r>
      <w:r>
        <w:rPr>
          <w:noProof/>
          <w:lang w:eastAsia="en-GB"/>
        </w:rPr>
        <w:drawing>
          <wp:anchor distT="0" distB="0" distL="114300" distR="114300" simplePos="0" relativeHeight="251659264" behindDoc="1" locked="0" layoutInCell="1" allowOverlap="1" wp14:anchorId="5480A38D" wp14:editId="660F4371">
            <wp:simplePos x="0" y="0"/>
            <wp:positionH relativeFrom="margin">
              <wp:posOffset>15240</wp:posOffset>
            </wp:positionH>
            <wp:positionV relativeFrom="margin">
              <wp:posOffset>8315325</wp:posOffset>
            </wp:positionV>
            <wp:extent cx="626745" cy="38989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6745" cy="389890"/>
                    </a:xfrm>
                    <a:prstGeom prst="rect">
                      <a:avLst/>
                    </a:prstGeom>
                    <a:noFill/>
                  </pic:spPr>
                </pic:pic>
              </a:graphicData>
            </a:graphic>
            <wp14:sizeRelH relativeFrom="margin">
              <wp14:pctWidth>0</wp14:pctWidth>
            </wp14:sizeRelH>
            <wp14:sizeRelV relativeFrom="margin">
              <wp14:pctHeight>0</wp14:pctHeight>
            </wp14:sizeRelV>
          </wp:anchor>
        </w:drawing>
      </w:r>
    </w:p>
    <w:p w:rsidR="00757B21" w:rsidRPr="00757B21" w:rsidRDefault="00757B21">
      <w:pPr>
        <w:rPr>
          <w:rFonts w:asciiTheme="minorHAnsi" w:hAnsiTheme="minorHAnsi" w:cstheme="minorHAnsi"/>
          <w:b/>
        </w:rPr>
      </w:pPr>
    </w:p>
    <w:p w:rsidR="00757B21" w:rsidRPr="00757B21" w:rsidRDefault="00757B21">
      <w:pPr>
        <w:rPr>
          <w:rFonts w:asciiTheme="minorHAnsi" w:hAnsiTheme="minorHAnsi" w:cstheme="minorHAnsi"/>
          <w:b/>
        </w:rPr>
      </w:pPr>
    </w:p>
    <w:p w:rsidR="00B768DD" w:rsidRPr="00757B21" w:rsidRDefault="00B768DD">
      <w:pPr>
        <w:rPr>
          <w:rFonts w:asciiTheme="minorHAnsi" w:hAnsiTheme="minorHAnsi" w:cstheme="minorHAnsi"/>
          <w:b/>
        </w:rPr>
      </w:pPr>
      <w:r w:rsidRPr="00757B21">
        <w:rPr>
          <w:rFonts w:asciiTheme="minorHAnsi" w:hAnsiTheme="minorHAnsi" w:cstheme="minorHAnsi"/>
          <w:b/>
        </w:rPr>
        <w:lastRenderedPageBreak/>
        <w:t>About Life Expectancy Calculations</w:t>
      </w:r>
    </w:p>
    <w:p w:rsidR="00B768DD" w:rsidRPr="00757B21" w:rsidRDefault="00B768DD">
      <w:pPr>
        <w:rPr>
          <w:rFonts w:asciiTheme="minorHAnsi" w:hAnsiTheme="minorHAnsi" w:cstheme="minorHAnsi"/>
        </w:rPr>
      </w:pPr>
      <w:r w:rsidRPr="00757B21">
        <w:rPr>
          <w:rFonts w:asciiTheme="minorHAnsi" w:hAnsiTheme="minorHAnsi" w:cstheme="minorHAnsi"/>
        </w:rPr>
        <w:t>Life expectancy</w:t>
      </w:r>
      <w:r w:rsidR="00B05F1C">
        <w:rPr>
          <w:rFonts w:asciiTheme="minorHAnsi" w:hAnsiTheme="minorHAnsi" w:cstheme="minorHAnsi"/>
        </w:rPr>
        <w:t xml:space="preserve"> at birth</w:t>
      </w:r>
      <w:r w:rsidRPr="00757B21">
        <w:rPr>
          <w:rFonts w:asciiTheme="minorHAnsi" w:hAnsiTheme="minorHAnsi" w:cstheme="minorHAnsi"/>
        </w:rPr>
        <w:t xml:space="preserve"> is defined as the </w:t>
      </w:r>
      <w:r w:rsidR="00B05F1C">
        <w:rPr>
          <w:rFonts w:asciiTheme="minorHAnsi" w:hAnsiTheme="minorHAnsi" w:cstheme="minorHAnsi"/>
        </w:rPr>
        <w:t xml:space="preserve">average </w:t>
      </w:r>
      <w:r w:rsidRPr="00757B21">
        <w:rPr>
          <w:rFonts w:asciiTheme="minorHAnsi" w:hAnsiTheme="minorHAnsi" w:cstheme="minorHAnsi"/>
        </w:rPr>
        <w:t xml:space="preserve">number of years a </w:t>
      </w:r>
      <w:r w:rsidR="00B05F1C">
        <w:rPr>
          <w:rFonts w:asciiTheme="minorHAnsi" w:hAnsiTheme="minorHAnsi" w:cstheme="minorHAnsi"/>
        </w:rPr>
        <w:t>cohort of babies would live if they experienced the</w:t>
      </w:r>
      <w:r w:rsidRPr="00757B21">
        <w:rPr>
          <w:rFonts w:asciiTheme="minorHAnsi" w:hAnsiTheme="minorHAnsi" w:cstheme="minorHAnsi"/>
        </w:rPr>
        <w:t xml:space="preserve"> age-specific death rates </w:t>
      </w:r>
      <w:r w:rsidR="00B05F1C">
        <w:rPr>
          <w:rFonts w:asciiTheme="minorHAnsi" w:hAnsiTheme="minorHAnsi" w:cstheme="minorHAnsi"/>
        </w:rPr>
        <w:t xml:space="preserve">of the prevailing time period </w:t>
      </w:r>
      <w:r w:rsidRPr="00757B21">
        <w:rPr>
          <w:rFonts w:asciiTheme="minorHAnsi" w:hAnsiTheme="minorHAnsi" w:cstheme="minorHAnsi"/>
        </w:rPr>
        <w:t xml:space="preserve">throughout their life. </w:t>
      </w:r>
      <w:r w:rsidR="003A7369" w:rsidRPr="003A7369">
        <w:rPr>
          <w:rFonts w:asciiTheme="minorHAnsi" w:hAnsiTheme="minorHAnsi" w:cstheme="minorHAnsi"/>
        </w:rPr>
        <w:t>For example</w:t>
      </w:r>
      <w:r w:rsidR="003A7369">
        <w:rPr>
          <w:rFonts w:asciiTheme="minorHAnsi" w:hAnsiTheme="minorHAnsi" w:cstheme="minorHAnsi"/>
        </w:rPr>
        <w:t>, life expectancy at birth in 2</w:t>
      </w:r>
      <w:r w:rsidR="003A7369" w:rsidRPr="003A7369">
        <w:rPr>
          <w:rFonts w:asciiTheme="minorHAnsi" w:hAnsiTheme="minorHAnsi" w:cstheme="minorHAnsi"/>
        </w:rPr>
        <w:t>013 is the average number of years a group of babies born in 2013 would live if they were to experience the age –specific mortality rates of 2013</w:t>
      </w:r>
      <w:r w:rsidR="003A7369">
        <w:rPr>
          <w:rFonts w:asciiTheme="minorHAnsi" w:hAnsiTheme="minorHAnsi" w:cstheme="minorHAnsi"/>
        </w:rPr>
        <w:t xml:space="preserve">. </w:t>
      </w:r>
      <w:r w:rsidRPr="00757B21">
        <w:rPr>
          <w:rFonts w:asciiTheme="minorHAnsi" w:hAnsiTheme="minorHAnsi" w:cstheme="minorHAnsi"/>
        </w:rPr>
        <w:t>It is not, therefore, a projection into the future but a measure of the health of the population in the here and now. No data on trends, technological advancements, social class, lifestyle factors, political decisions and so on are used in the calculation; simply the number who died and the number who lived in each age group</w:t>
      </w:r>
      <w:r w:rsidR="00E9583D">
        <w:rPr>
          <w:rFonts w:asciiTheme="minorHAnsi" w:hAnsiTheme="minorHAnsi" w:cstheme="minorHAnsi"/>
        </w:rPr>
        <w:t xml:space="preserve"> over a given time period</w:t>
      </w:r>
      <w:r w:rsidRPr="00757B21">
        <w:rPr>
          <w:rFonts w:asciiTheme="minorHAnsi" w:hAnsiTheme="minorHAnsi" w:cstheme="minorHAnsi"/>
        </w:rPr>
        <w:t>.</w:t>
      </w:r>
    </w:p>
    <w:p w:rsidR="00B768DD" w:rsidRPr="00757B21" w:rsidRDefault="00B768DD">
      <w:pPr>
        <w:rPr>
          <w:rFonts w:asciiTheme="minorHAnsi" w:hAnsiTheme="minorHAnsi" w:cstheme="minorHAnsi"/>
        </w:rPr>
      </w:pPr>
      <w:r w:rsidRPr="00757B21">
        <w:rPr>
          <w:rFonts w:asciiTheme="minorHAnsi" w:hAnsiTheme="minorHAnsi" w:cstheme="minorHAnsi"/>
        </w:rPr>
        <w:t>An accurate figure for life expe</w:t>
      </w:r>
      <w:r w:rsidR="003A7369">
        <w:rPr>
          <w:rFonts w:asciiTheme="minorHAnsi" w:hAnsiTheme="minorHAnsi" w:cstheme="minorHAnsi"/>
        </w:rPr>
        <w:t>ctancy requires a lot of data and s</w:t>
      </w:r>
      <w:r w:rsidRPr="00757B21">
        <w:rPr>
          <w:rFonts w:asciiTheme="minorHAnsi" w:hAnsiTheme="minorHAnsi" w:cstheme="minorHAnsi"/>
        </w:rPr>
        <w:t>mall variations in deaths year on year can have a big effect</w:t>
      </w:r>
      <w:r w:rsidR="003A7369">
        <w:rPr>
          <w:rFonts w:asciiTheme="minorHAnsi" w:hAnsiTheme="minorHAnsi" w:cstheme="minorHAnsi"/>
        </w:rPr>
        <w:t xml:space="preserve"> on estimates. To counteract this,</w:t>
      </w:r>
      <w:r w:rsidR="00161B76" w:rsidRPr="00757B21">
        <w:rPr>
          <w:rFonts w:asciiTheme="minorHAnsi" w:hAnsiTheme="minorHAnsi" w:cstheme="minorHAnsi"/>
        </w:rPr>
        <w:t xml:space="preserve"> several years of pooled data are often used in the calculation. </w:t>
      </w:r>
      <w:r w:rsidR="005038FD">
        <w:rPr>
          <w:rFonts w:asciiTheme="minorHAnsi" w:hAnsiTheme="minorHAnsi" w:cstheme="minorHAnsi"/>
        </w:rPr>
        <w:t xml:space="preserve">For smaller areas such as wards, </w:t>
      </w:r>
      <w:r w:rsidR="003A7369">
        <w:rPr>
          <w:rFonts w:asciiTheme="minorHAnsi" w:hAnsiTheme="minorHAnsi" w:cstheme="minorHAnsi"/>
        </w:rPr>
        <w:t>T</w:t>
      </w:r>
      <w:r w:rsidR="00161B76" w:rsidRPr="00757B21">
        <w:rPr>
          <w:rFonts w:asciiTheme="minorHAnsi" w:hAnsiTheme="minorHAnsi" w:cstheme="minorHAnsi"/>
        </w:rPr>
        <w:t>he PHRU method</w:t>
      </w:r>
      <w:r w:rsidR="00161B76" w:rsidRPr="00757B21">
        <w:rPr>
          <w:rStyle w:val="FootnoteReference"/>
          <w:rFonts w:asciiTheme="minorHAnsi" w:hAnsiTheme="minorHAnsi" w:cstheme="minorHAnsi"/>
        </w:rPr>
        <w:footnoteReference w:id="1"/>
      </w:r>
      <w:r w:rsidR="00161B76" w:rsidRPr="00757B21">
        <w:rPr>
          <w:rFonts w:asciiTheme="minorHAnsi" w:hAnsiTheme="minorHAnsi" w:cstheme="minorHAnsi"/>
        </w:rPr>
        <w:t xml:space="preserve"> pools males and females together along with several years’ deaths to try to reduce uncertainty around the estimates for local areas within West Sussex.</w:t>
      </w:r>
      <w:r w:rsidR="00985E01" w:rsidRPr="00757B21">
        <w:rPr>
          <w:rFonts w:asciiTheme="minorHAnsi" w:hAnsiTheme="minorHAnsi" w:cstheme="minorHAnsi"/>
        </w:rPr>
        <w:t xml:space="preserve"> At larger geographies, such as districts, </w:t>
      </w:r>
      <w:r w:rsidR="005038FD">
        <w:rPr>
          <w:rFonts w:asciiTheme="minorHAnsi" w:hAnsiTheme="minorHAnsi" w:cstheme="minorHAnsi"/>
        </w:rPr>
        <w:t>life expectancy may be calculated separately for males and females.</w:t>
      </w:r>
    </w:p>
    <w:p w:rsidR="00985E01" w:rsidRPr="00757B21" w:rsidRDefault="00985E01">
      <w:pPr>
        <w:rPr>
          <w:rFonts w:asciiTheme="minorHAnsi" w:hAnsiTheme="minorHAnsi" w:cstheme="minorHAnsi"/>
        </w:rPr>
      </w:pPr>
      <w:r w:rsidRPr="00757B21">
        <w:rPr>
          <w:rFonts w:asciiTheme="minorHAnsi" w:hAnsiTheme="minorHAnsi" w:cstheme="minorHAnsi"/>
        </w:rPr>
        <w:t>All data are presented with 95% confidence intervals</w:t>
      </w:r>
      <w:r w:rsidR="00E9583D">
        <w:rPr>
          <w:rFonts w:asciiTheme="minorHAnsi" w:hAnsiTheme="minorHAnsi" w:cstheme="minorHAnsi"/>
        </w:rPr>
        <w:t>,</w:t>
      </w:r>
      <w:r w:rsidRPr="00757B21">
        <w:rPr>
          <w:rFonts w:asciiTheme="minorHAnsi" w:hAnsiTheme="minorHAnsi" w:cstheme="minorHAnsi"/>
        </w:rPr>
        <w:t xml:space="preserve"> which indicate the level of uncertainty around the estimate. If figures for two areas have confidence intervals that overlap with each other, they are not considered to </w:t>
      </w:r>
      <w:r w:rsidR="00E9583D">
        <w:rPr>
          <w:rFonts w:asciiTheme="minorHAnsi" w:hAnsiTheme="minorHAnsi" w:cstheme="minorHAnsi"/>
        </w:rPr>
        <w:t>be ‘statistically significantly’</w:t>
      </w:r>
      <w:r w:rsidRPr="00757B21">
        <w:rPr>
          <w:rFonts w:asciiTheme="minorHAnsi" w:hAnsiTheme="minorHAnsi" w:cstheme="minorHAnsi"/>
        </w:rPr>
        <w:t xml:space="preserve"> different from one another. In other words, we can’t be sure that life expectancy in one of these areas is really any different from that in the other. If the confidence intervals do not overlap, we would consider that good evidence that there is something different about the health of these two populations.</w:t>
      </w:r>
    </w:p>
    <w:p w:rsidR="00A86850" w:rsidRPr="00757B21" w:rsidRDefault="00C55FDE">
      <w:pPr>
        <w:rPr>
          <w:rFonts w:asciiTheme="minorHAnsi" w:hAnsiTheme="minorHAnsi" w:cstheme="minorHAnsi"/>
        </w:rPr>
      </w:pPr>
      <w:r w:rsidRPr="00757B21">
        <w:rPr>
          <w:rFonts w:asciiTheme="minorHAnsi" w:hAnsiTheme="minorHAnsi" w:cstheme="minorHAnsi"/>
        </w:rPr>
        <w:t xml:space="preserve">All death data in this report have been assigned a geographic area based on postcodes contained within the Primary Care Mortality Database. A </w:t>
      </w:r>
      <w:r w:rsidR="001E6B39" w:rsidRPr="00757B21">
        <w:rPr>
          <w:rFonts w:asciiTheme="minorHAnsi" w:hAnsiTheme="minorHAnsi" w:cstheme="minorHAnsi"/>
        </w:rPr>
        <w:t xml:space="preserve">small </w:t>
      </w:r>
      <w:r w:rsidRPr="00757B21">
        <w:rPr>
          <w:rFonts w:asciiTheme="minorHAnsi" w:hAnsiTheme="minorHAnsi" w:cstheme="minorHAnsi"/>
        </w:rPr>
        <w:t xml:space="preserve">proportion of deaths </w:t>
      </w:r>
      <w:r w:rsidR="001E6B39" w:rsidRPr="00757B21">
        <w:rPr>
          <w:rFonts w:asciiTheme="minorHAnsi" w:hAnsiTheme="minorHAnsi" w:cstheme="minorHAnsi"/>
        </w:rPr>
        <w:t xml:space="preserve">(average 0.1%) </w:t>
      </w:r>
      <w:r w:rsidRPr="00757B21">
        <w:rPr>
          <w:rFonts w:asciiTheme="minorHAnsi" w:hAnsiTheme="minorHAnsi" w:cstheme="minorHAnsi"/>
        </w:rPr>
        <w:t>did not have a postcode attached and were therefore unable to be analysed. This may result in small discrepancies between this data and other published sources.</w:t>
      </w:r>
      <w:r w:rsidR="009F2FBE">
        <w:rPr>
          <w:rFonts w:asciiTheme="minorHAnsi" w:hAnsiTheme="minorHAnsi" w:cstheme="minorHAnsi"/>
        </w:rPr>
        <w:t xml:space="preserve"> The population base used as the denominator in the calculations was the ONS revised population estimates at LSOA level for each year</w:t>
      </w:r>
      <w:r w:rsidR="009F2FBE">
        <w:rPr>
          <w:rStyle w:val="FootnoteReference"/>
          <w:rFonts w:asciiTheme="minorHAnsi" w:hAnsiTheme="minorHAnsi" w:cstheme="minorHAnsi"/>
        </w:rPr>
        <w:footnoteReference w:id="2"/>
      </w:r>
      <w:r w:rsidR="009F2FBE">
        <w:rPr>
          <w:rFonts w:asciiTheme="minorHAnsi" w:hAnsiTheme="minorHAnsi" w:cstheme="minorHAnsi"/>
        </w:rPr>
        <w:t>.</w:t>
      </w:r>
    </w:p>
    <w:p w:rsidR="004458B0" w:rsidRDefault="004458B0">
      <w:pPr>
        <w:rPr>
          <w:rFonts w:asciiTheme="minorHAnsi" w:hAnsiTheme="minorHAnsi" w:cstheme="minorHAnsi"/>
          <w:b/>
        </w:rPr>
      </w:pPr>
    </w:p>
    <w:p w:rsidR="004458B0" w:rsidRDefault="004458B0">
      <w:pPr>
        <w:rPr>
          <w:rFonts w:asciiTheme="minorHAnsi" w:hAnsiTheme="minorHAnsi" w:cstheme="minorHAnsi"/>
          <w:b/>
        </w:rPr>
      </w:pPr>
    </w:p>
    <w:p w:rsidR="004458B0" w:rsidRDefault="004458B0">
      <w:pPr>
        <w:rPr>
          <w:rFonts w:asciiTheme="minorHAnsi" w:hAnsiTheme="minorHAnsi" w:cstheme="minorHAnsi"/>
          <w:b/>
        </w:rPr>
      </w:pPr>
    </w:p>
    <w:p w:rsidR="004458B0" w:rsidRDefault="004458B0">
      <w:pPr>
        <w:rPr>
          <w:rFonts w:asciiTheme="minorHAnsi" w:hAnsiTheme="minorHAnsi" w:cstheme="minorHAnsi"/>
          <w:b/>
        </w:rPr>
      </w:pPr>
    </w:p>
    <w:p w:rsidR="004458B0" w:rsidRDefault="004458B0">
      <w:pPr>
        <w:rPr>
          <w:rFonts w:asciiTheme="minorHAnsi" w:hAnsiTheme="minorHAnsi" w:cstheme="minorHAnsi"/>
          <w:b/>
        </w:rPr>
      </w:pPr>
    </w:p>
    <w:p w:rsidR="004458B0" w:rsidRDefault="004458B0">
      <w:pPr>
        <w:rPr>
          <w:rFonts w:asciiTheme="minorHAnsi" w:hAnsiTheme="minorHAnsi" w:cstheme="minorHAnsi"/>
          <w:b/>
        </w:rPr>
      </w:pPr>
    </w:p>
    <w:p w:rsidR="00D5112C" w:rsidRDefault="00D5112C">
      <w:pPr>
        <w:rPr>
          <w:rFonts w:asciiTheme="minorHAnsi" w:hAnsiTheme="minorHAnsi" w:cstheme="minorHAnsi"/>
          <w:b/>
        </w:rPr>
      </w:pPr>
    </w:p>
    <w:p w:rsidR="00A86850" w:rsidRPr="00757B21" w:rsidRDefault="00A86850">
      <w:pPr>
        <w:rPr>
          <w:rFonts w:asciiTheme="minorHAnsi" w:hAnsiTheme="minorHAnsi" w:cstheme="minorHAnsi"/>
          <w:b/>
        </w:rPr>
      </w:pPr>
      <w:r w:rsidRPr="00757B21">
        <w:rPr>
          <w:rFonts w:asciiTheme="minorHAnsi" w:hAnsiTheme="minorHAnsi" w:cstheme="minorHAnsi"/>
          <w:b/>
        </w:rPr>
        <w:lastRenderedPageBreak/>
        <w:t>Life Expectancy at County and District Level</w:t>
      </w:r>
    </w:p>
    <w:p w:rsidR="00A86850" w:rsidRDefault="00A86850">
      <w:pPr>
        <w:rPr>
          <w:rFonts w:asciiTheme="minorHAnsi" w:hAnsiTheme="minorHAnsi" w:cstheme="minorHAnsi"/>
        </w:rPr>
      </w:pPr>
      <w:r w:rsidRPr="00757B21">
        <w:rPr>
          <w:rFonts w:asciiTheme="minorHAnsi" w:hAnsiTheme="minorHAnsi" w:cstheme="minorHAnsi"/>
        </w:rPr>
        <w:t>Life expectancy in West Sussex and the county’s constituent districts</w:t>
      </w:r>
      <w:r w:rsidR="004458B0">
        <w:rPr>
          <w:rFonts w:asciiTheme="minorHAnsi" w:hAnsiTheme="minorHAnsi" w:cstheme="minorHAnsi"/>
        </w:rPr>
        <w:t xml:space="preserve"> and boroughs</w:t>
      </w:r>
      <w:r w:rsidRPr="00757B21">
        <w:rPr>
          <w:rFonts w:asciiTheme="minorHAnsi" w:hAnsiTheme="minorHAnsi" w:cstheme="minorHAnsi"/>
        </w:rPr>
        <w:t xml:space="preserve"> is shown in Table 1</w:t>
      </w:r>
      <w:r w:rsidR="00207981">
        <w:rPr>
          <w:rStyle w:val="FootnoteReference"/>
          <w:rFonts w:asciiTheme="minorHAnsi" w:hAnsiTheme="minorHAnsi" w:cstheme="minorHAnsi"/>
        </w:rPr>
        <w:footnoteReference w:id="3"/>
      </w:r>
      <w:r w:rsidRPr="00757B21">
        <w:rPr>
          <w:rFonts w:asciiTheme="minorHAnsi" w:hAnsiTheme="minorHAnsi" w:cstheme="minorHAnsi"/>
        </w:rPr>
        <w:t>.</w:t>
      </w:r>
      <w:r w:rsidR="004458B0">
        <w:rPr>
          <w:rFonts w:asciiTheme="minorHAnsi" w:hAnsiTheme="minorHAnsi" w:cstheme="minorHAnsi"/>
        </w:rPr>
        <w:t xml:space="preserve"> Areas where estimates for men are significantly different from the county average are highlighted red and green. Estimates for women were not significantly different from the county average in any area.</w:t>
      </w:r>
    </w:p>
    <w:tbl>
      <w:tblPr>
        <w:tblW w:w="795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560"/>
        <w:gridCol w:w="1417"/>
        <w:gridCol w:w="1843"/>
        <w:gridCol w:w="1417"/>
      </w:tblGrid>
      <w:tr w:rsidR="004458B0" w:rsidRPr="004458B0" w:rsidTr="00D5112C">
        <w:trPr>
          <w:trHeight w:val="300"/>
        </w:trPr>
        <w:tc>
          <w:tcPr>
            <w:tcW w:w="1716" w:type="dxa"/>
            <w:shd w:val="clear" w:color="auto" w:fill="auto"/>
            <w:noWrap/>
            <w:vAlign w:val="bottom"/>
            <w:hideMark/>
          </w:tcPr>
          <w:p w:rsidR="004458B0" w:rsidRPr="004458B0" w:rsidRDefault="004458B0" w:rsidP="004458B0">
            <w:pPr>
              <w:spacing w:after="0" w:line="240" w:lineRule="auto"/>
              <w:rPr>
                <w:rFonts w:eastAsia="Times New Roman" w:cs="Calibri"/>
                <w:b/>
                <w:bCs/>
                <w:color w:val="000000"/>
                <w:lang w:eastAsia="en-GB"/>
              </w:rPr>
            </w:pPr>
            <w:r w:rsidRPr="004458B0">
              <w:rPr>
                <w:rFonts w:eastAsia="Times New Roman" w:cs="Calibri"/>
                <w:b/>
                <w:bCs/>
                <w:color w:val="000000"/>
                <w:lang w:eastAsia="en-GB"/>
              </w:rPr>
              <w:t>LA</w:t>
            </w:r>
          </w:p>
        </w:tc>
        <w:tc>
          <w:tcPr>
            <w:tcW w:w="1560" w:type="dxa"/>
            <w:shd w:val="clear" w:color="auto" w:fill="auto"/>
            <w:noWrap/>
            <w:vAlign w:val="bottom"/>
            <w:hideMark/>
          </w:tcPr>
          <w:p w:rsidR="004458B0" w:rsidRPr="004458B0" w:rsidRDefault="004458B0" w:rsidP="004458B0">
            <w:pPr>
              <w:spacing w:after="0" w:line="240" w:lineRule="auto"/>
              <w:rPr>
                <w:rFonts w:eastAsia="Times New Roman" w:cs="Calibri"/>
                <w:b/>
                <w:bCs/>
                <w:color w:val="000000"/>
                <w:lang w:eastAsia="en-GB"/>
              </w:rPr>
            </w:pPr>
            <w:r w:rsidRPr="004458B0">
              <w:rPr>
                <w:rFonts w:eastAsia="Times New Roman" w:cs="Calibri"/>
                <w:b/>
                <w:bCs/>
                <w:color w:val="000000"/>
                <w:lang w:eastAsia="en-GB"/>
              </w:rPr>
              <w:t>Men (10-12)</w:t>
            </w:r>
          </w:p>
        </w:tc>
        <w:tc>
          <w:tcPr>
            <w:tcW w:w="1417" w:type="dxa"/>
            <w:shd w:val="clear" w:color="auto" w:fill="auto"/>
            <w:noWrap/>
            <w:vAlign w:val="bottom"/>
            <w:hideMark/>
          </w:tcPr>
          <w:p w:rsidR="004458B0" w:rsidRPr="004458B0" w:rsidRDefault="004458B0" w:rsidP="004458B0">
            <w:pPr>
              <w:spacing w:after="0" w:line="240" w:lineRule="auto"/>
              <w:rPr>
                <w:rFonts w:eastAsia="Times New Roman" w:cs="Calibri"/>
                <w:b/>
                <w:bCs/>
                <w:color w:val="000000"/>
                <w:lang w:eastAsia="en-GB"/>
              </w:rPr>
            </w:pPr>
            <w:r w:rsidRPr="004458B0">
              <w:rPr>
                <w:rFonts w:eastAsia="Times New Roman" w:cs="Calibri"/>
                <w:b/>
                <w:bCs/>
                <w:color w:val="000000"/>
                <w:lang w:eastAsia="en-GB"/>
              </w:rPr>
              <w:t>CI (95%)</w:t>
            </w:r>
          </w:p>
        </w:tc>
        <w:tc>
          <w:tcPr>
            <w:tcW w:w="1843" w:type="dxa"/>
            <w:shd w:val="clear" w:color="auto" w:fill="auto"/>
            <w:noWrap/>
            <w:vAlign w:val="bottom"/>
            <w:hideMark/>
          </w:tcPr>
          <w:p w:rsidR="004458B0" w:rsidRPr="004458B0" w:rsidRDefault="004458B0" w:rsidP="004458B0">
            <w:pPr>
              <w:spacing w:after="0" w:line="240" w:lineRule="auto"/>
              <w:rPr>
                <w:rFonts w:eastAsia="Times New Roman" w:cs="Calibri"/>
                <w:b/>
                <w:bCs/>
                <w:color w:val="000000"/>
                <w:lang w:eastAsia="en-GB"/>
              </w:rPr>
            </w:pPr>
            <w:r w:rsidRPr="004458B0">
              <w:rPr>
                <w:rFonts w:eastAsia="Times New Roman" w:cs="Calibri"/>
                <w:b/>
                <w:bCs/>
                <w:color w:val="000000"/>
                <w:lang w:eastAsia="en-GB"/>
              </w:rPr>
              <w:t>Women (10-12)</w:t>
            </w:r>
          </w:p>
        </w:tc>
        <w:tc>
          <w:tcPr>
            <w:tcW w:w="1417" w:type="dxa"/>
            <w:shd w:val="clear" w:color="auto" w:fill="auto"/>
            <w:noWrap/>
            <w:vAlign w:val="bottom"/>
            <w:hideMark/>
          </w:tcPr>
          <w:p w:rsidR="004458B0" w:rsidRPr="004458B0" w:rsidRDefault="004458B0" w:rsidP="004458B0">
            <w:pPr>
              <w:spacing w:after="0" w:line="240" w:lineRule="auto"/>
              <w:rPr>
                <w:rFonts w:eastAsia="Times New Roman" w:cs="Calibri"/>
                <w:b/>
                <w:bCs/>
                <w:color w:val="000000"/>
                <w:lang w:eastAsia="en-GB"/>
              </w:rPr>
            </w:pPr>
            <w:r w:rsidRPr="004458B0">
              <w:rPr>
                <w:rFonts w:eastAsia="Times New Roman" w:cs="Calibri"/>
                <w:b/>
                <w:bCs/>
                <w:color w:val="000000"/>
                <w:lang w:eastAsia="en-GB"/>
              </w:rPr>
              <w:t>CI (95%)</w:t>
            </w:r>
          </w:p>
        </w:tc>
      </w:tr>
      <w:tr w:rsidR="004458B0" w:rsidRPr="004458B0" w:rsidTr="00D5112C">
        <w:trPr>
          <w:trHeight w:val="300"/>
        </w:trPr>
        <w:tc>
          <w:tcPr>
            <w:tcW w:w="1716" w:type="dxa"/>
            <w:shd w:val="clear" w:color="auto" w:fill="auto"/>
            <w:noWrap/>
            <w:vAlign w:val="bottom"/>
            <w:hideMark/>
          </w:tcPr>
          <w:p w:rsidR="004458B0" w:rsidRPr="004458B0" w:rsidRDefault="004458B0" w:rsidP="004458B0">
            <w:pPr>
              <w:spacing w:after="0" w:line="240" w:lineRule="auto"/>
              <w:rPr>
                <w:rFonts w:eastAsia="Times New Roman" w:cs="Calibri"/>
                <w:color w:val="000000"/>
                <w:lang w:eastAsia="en-GB"/>
              </w:rPr>
            </w:pPr>
            <w:proofErr w:type="spellStart"/>
            <w:r w:rsidRPr="004458B0">
              <w:rPr>
                <w:rFonts w:eastAsia="Times New Roman" w:cs="Calibri"/>
                <w:color w:val="000000"/>
                <w:lang w:eastAsia="en-GB"/>
              </w:rPr>
              <w:t>Adur</w:t>
            </w:r>
            <w:proofErr w:type="spellEnd"/>
          </w:p>
        </w:tc>
        <w:tc>
          <w:tcPr>
            <w:tcW w:w="1560"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80.4</w:t>
            </w:r>
          </w:p>
        </w:tc>
        <w:tc>
          <w:tcPr>
            <w:tcW w:w="1417"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(79.6 - 81.3)</w:t>
            </w:r>
          </w:p>
        </w:tc>
        <w:tc>
          <w:tcPr>
            <w:tcW w:w="1843"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83.4</w:t>
            </w:r>
          </w:p>
        </w:tc>
        <w:tc>
          <w:tcPr>
            <w:tcW w:w="1417"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(82.6 - 84.1)</w:t>
            </w:r>
          </w:p>
        </w:tc>
      </w:tr>
      <w:tr w:rsidR="004458B0" w:rsidRPr="004458B0" w:rsidTr="00D5112C">
        <w:trPr>
          <w:trHeight w:val="300"/>
        </w:trPr>
        <w:tc>
          <w:tcPr>
            <w:tcW w:w="1716" w:type="dxa"/>
            <w:shd w:val="clear" w:color="auto" w:fill="FFFFFF" w:themeFill="background1"/>
            <w:noWrap/>
            <w:vAlign w:val="bottom"/>
            <w:hideMark/>
          </w:tcPr>
          <w:p w:rsidR="004458B0" w:rsidRPr="004458B0" w:rsidRDefault="004458B0" w:rsidP="004458B0">
            <w:pPr>
              <w:spacing w:after="0" w:line="240" w:lineRule="auto"/>
              <w:rPr>
                <w:rFonts w:eastAsia="Times New Roman" w:cs="Calibri"/>
                <w:color w:val="000000"/>
                <w:lang w:eastAsia="en-GB"/>
              </w:rPr>
            </w:pPr>
            <w:proofErr w:type="spellStart"/>
            <w:r w:rsidRPr="004458B0">
              <w:rPr>
                <w:rFonts w:eastAsia="Times New Roman" w:cs="Calibri"/>
                <w:color w:val="000000"/>
                <w:lang w:eastAsia="en-GB"/>
              </w:rPr>
              <w:t>Arun</w:t>
            </w:r>
            <w:proofErr w:type="spellEnd"/>
          </w:p>
        </w:tc>
        <w:tc>
          <w:tcPr>
            <w:tcW w:w="1560" w:type="dxa"/>
            <w:shd w:val="clear" w:color="auto" w:fill="D99594" w:themeFill="accent2" w:themeFillTint="99"/>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79.7</w:t>
            </w:r>
          </w:p>
        </w:tc>
        <w:tc>
          <w:tcPr>
            <w:tcW w:w="1417"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(79.1 - 80.2)</w:t>
            </w:r>
          </w:p>
        </w:tc>
        <w:tc>
          <w:tcPr>
            <w:tcW w:w="1843"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83.5</w:t>
            </w:r>
          </w:p>
        </w:tc>
        <w:tc>
          <w:tcPr>
            <w:tcW w:w="1417"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(83 - 84)</w:t>
            </w:r>
          </w:p>
        </w:tc>
      </w:tr>
      <w:tr w:rsidR="004458B0" w:rsidRPr="004458B0" w:rsidTr="00D5112C">
        <w:trPr>
          <w:trHeight w:val="300"/>
        </w:trPr>
        <w:tc>
          <w:tcPr>
            <w:tcW w:w="1716" w:type="dxa"/>
            <w:shd w:val="clear" w:color="auto" w:fill="FFFFFF" w:themeFill="background1"/>
            <w:noWrap/>
            <w:vAlign w:val="bottom"/>
            <w:hideMark/>
          </w:tcPr>
          <w:p w:rsidR="004458B0" w:rsidRPr="004458B0" w:rsidRDefault="004458B0" w:rsidP="004458B0">
            <w:pPr>
              <w:spacing w:after="0" w:line="240" w:lineRule="auto"/>
              <w:rPr>
                <w:rFonts w:eastAsia="Times New Roman" w:cs="Calibri"/>
                <w:color w:val="000000"/>
                <w:lang w:eastAsia="en-GB"/>
              </w:rPr>
            </w:pPr>
            <w:r w:rsidRPr="004458B0">
              <w:rPr>
                <w:rFonts w:eastAsia="Times New Roman" w:cs="Calibri"/>
                <w:color w:val="000000"/>
                <w:lang w:eastAsia="en-GB"/>
              </w:rPr>
              <w:t>Chichester</w:t>
            </w:r>
          </w:p>
        </w:tc>
        <w:tc>
          <w:tcPr>
            <w:tcW w:w="1560"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80.9</w:t>
            </w:r>
          </w:p>
        </w:tc>
        <w:tc>
          <w:tcPr>
            <w:tcW w:w="1417"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(80.3 - 81.6)</w:t>
            </w:r>
          </w:p>
        </w:tc>
        <w:tc>
          <w:tcPr>
            <w:tcW w:w="1843"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84.6</w:t>
            </w:r>
          </w:p>
        </w:tc>
        <w:tc>
          <w:tcPr>
            <w:tcW w:w="1417"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(84 - 85.2)</w:t>
            </w:r>
          </w:p>
        </w:tc>
      </w:tr>
      <w:tr w:rsidR="004458B0" w:rsidRPr="004458B0" w:rsidTr="00D5112C">
        <w:trPr>
          <w:trHeight w:val="300"/>
        </w:trPr>
        <w:tc>
          <w:tcPr>
            <w:tcW w:w="1716" w:type="dxa"/>
            <w:shd w:val="clear" w:color="auto" w:fill="FFFFFF" w:themeFill="background1"/>
            <w:noWrap/>
            <w:vAlign w:val="bottom"/>
            <w:hideMark/>
          </w:tcPr>
          <w:p w:rsidR="004458B0" w:rsidRPr="004458B0" w:rsidRDefault="004458B0" w:rsidP="004458B0">
            <w:pPr>
              <w:spacing w:after="0" w:line="240" w:lineRule="auto"/>
              <w:rPr>
                <w:rFonts w:eastAsia="Times New Roman" w:cs="Calibri"/>
                <w:color w:val="000000"/>
                <w:lang w:eastAsia="en-GB"/>
              </w:rPr>
            </w:pPr>
            <w:r w:rsidRPr="004458B0">
              <w:rPr>
                <w:rFonts w:eastAsia="Times New Roman" w:cs="Calibri"/>
                <w:color w:val="000000"/>
                <w:lang w:eastAsia="en-GB"/>
              </w:rPr>
              <w:t>Crawley</w:t>
            </w:r>
          </w:p>
        </w:tc>
        <w:tc>
          <w:tcPr>
            <w:tcW w:w="1560"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79.7</w:t>
            </w:r>
          </w:p>
        </w:tc>
        <w:tc>
          <w:tcPr>
            <w:tcW w:w="1417"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(79 - 80.4)</w:t>
            </w:r>
          </w:p>
        </w:tc>
        <w:tc>
          <w:tcPr>
            <w:tcW w:w="1843"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83.6</w:t>
            </w:r>
          </w:p>
        </w:tc>
        <w:tc>
          <w:tcPr>
            <w:tcW w:w="1417"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(82.8 - 84.3)</w:t>
            </w:r>
          </w:p>
        </w:tc>
      </w:tr>
      <w:tr w:rsidR="004458B0" w:rsidRPr="004458B0" w:rsidTr="00D5112C">
        <w:trPr>
          <w:trHeight w:val="300"/>
        </w:trPr>
        <w:tc>
          <w:tcPr>
            <w:tcW w:w="1716" w:type="dxa"/>
            <w:shd w:val="clear" w:color="auto" w:fill="FFFFFF" w:themeFill="background1"/>
            <w:noWrap/>
            <w:vAlign w:val="bottom"/>
            <w:hideMark/>
          </w:tcPr>
          <w:p w:rsidR="004458B0" w:rsidRPr="004458B0" w:rsidRDefault="004458B0" w:rsidP="004458B0">
            <w:pPr>
              <w:spacing w:after="0" w:line="240" w:lineRule="auto"/>
              <w:rPr>
                <w:rFonts w:eastAsia="Times New Roman" w:cs="Calibri"/>
                <w:color w:val="000000"/>
                <w:lang w:eastAsia="en-GB"/>
              </w:rPr>
            </w:pPr>
            <w:r w:rsidRPr="004458B0">
              <w:rPr>
                <w:rFonts w:eastAsia="Times New Roman" w:cs="Calibri"/>
                <w:color w:val="000000"/>
                <w:lang w:eastAsia="en-GB"/>
              </w:rPr>
              <w:t>Horsham</w:t>
            </w:r>
          </w:p>
        </w:tc>
        <w:tc>
          <w:tcPr>
            <w:tcW w:w="1560" w:type="dxa"/>
            <w:shd w:val="clear" w:color="auto" w:fill="C2D69B" w:themeFill="accent3" w:themeFillTint="99"/>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81.7</w:t>
            </w:r>
          </w:p>
        </w:tc>
        <w:tc>
          <w:tcPr>
            <w:tcW w:w="1417"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(81.1 - 82.3)</w:t>
            </w:r>
          </w:p>
        </w:tc>
        <w:tc>
          <w:tcPr>
            <w:tcW w:w="1843"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84.4</w:t>
            </w:r>
          </w:p>
        </w:tc>
        <w:tc>
          <w:tcPr>
            <w:tcW w:w="1417"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(83.8 - 85)</w:t>
            </w:r>
          </w:p>
        </w:tc>
      </w:tr>
      <w:tr w:rsidR="004458B0" w:rsidRPr="004458B0" w:rsidTr="00D5112C">
        <w:trPr>
          <w:trHeight w:val="300"/>
        </w:trPr>
        <w:tc>
          <w:tcPr>
            <w:tcW w:w="1716" w:type="dxa"/>
            <w:shd w:val="clear" w:color="auto" w:fill="FFFFFF" w:themeFill="background1"/>
            <w:noWrap/>
            <w:vAlign w:val="bottom"/>
            <w:hideMark/>
          </w:tcPr>
          <w:p w:rsidR="004458B0" w:rsidRPr="004458B0" w:rsidRDefault="004458B0" w:rsidP="004458B0">
            <w:pPr>
              <w:spacing w:after="0" w:line="240" w:lineRule="auto"/>
              <w:rPr>
                <w:rFonts w:eastAsia="Times New Roman" w:cs="Calibri"/>
                <w:color w:val="000000"/>
                <w:lang w:eastAsia="en-GB"/>
              </w:rPr>
            </w:pPr>
            <w:r w:rsidRPr="004458B0">
              <w:rPr>
                <w:rFonts w:eastAsia="Times New Roman" w:cs="Calibri"/>
                <w:color w:val="000000"/>
                <w:lang w:eastAsia="en-GB"/>
              </w:rPr>
              <w:t>Mid Sussex</w:t>
            </w:r>
          </w:p>
        </w:tc>
        <w:tc>
          <w:tcPr>
            <w:tcW w:w="1560" w:type="dxa"/>
            <w:shd w:val="clear" w:color="auto" w:fill="C2D69B" w:themeFill="accent3" w:themeFillTint="99"/>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81.9</w:t>
            </w:r>
          </w:p>
        </w:tc>
        <w:tc>
          <w:tcPr>
            <w:tcW w:w="1417"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(81.3 - 82.4)</w:t>
            </w:r>
          </w:p>
        </w:tc>
        <w:tc>
          <w:tcPr>
            <w:tcW w:w="1843"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84.2</w:t>
            </w:r>
          </w:p>
        </w:tc>
        <w:tc>
          <w:tcPr>
            <w:tcW w:w="1417"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(83.7 - 84.8)</w:t>
            </w:r>
          </w:p>
        </w:tc>
      </w:tr>
      <w:tr w:rsidR="004458B0" w:rsidRPr="004458B0" w:rsidTr="00D5112C">
        <w:trPr>
          <w:trHeight w:val="300"/>
        </w:trPr>
        <w:tc>
          <w:tcPr>
            <w:tcW w:w="1716" w:type="dxa"/>
            <w:shd w:val="clear" w:color="auto" w:fill="FFFFFF" w:themeFill="background1"/>
            <w:noWrap/>
            <w:vAlign w:val="bottom"/>
            <w:hideMark/>
          </w:tcPr>
          <w:p w:rsidR="004458B0" w:rsidRPr="004458B0" w:rsidRDefault="004458B0" w:rsidP="004458B0">
            <w:pPr>
              <w:spacing w:after="0" w:line="240" w:lineRule="auto"/>
              <w:rPr>
                <w:rFonts w:eastAsia="Times New Roman" w:cs="Calibri"/>
                <w:color w:val="000000"/>
                <w:lang w:eastAsia="en-GB"/>
              </w:rPr>
            </w:pPr>
            <w:r w:rsidRPr="004458B0">
              <w:rPr>
                <w:rFonts w:eastAsia="Times New Roman" w:cs="Calibri"/>
                <w:color w:val="000000"/>
                <w:lang w:eastAsia="en-GB"/>
              </w:rPr>
              <w:t>Worthing</w:t>
            </w:r>
          </w:p>
        </w:tc>
        <w:tc>
          <w:tcPr>
            <w:tcW w:w="1560" w:type="dxa"/>
            <w:shd w:val="clear" w:color="auto" w:fill="D99594" w:themeFill="accent2" w:themeFillTint="99"/>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78.8</w:t>
            </w:r>
          </w:p>
        </w:tc>
        <w:tc>
          <w:tcPr>
            <w:tcW w:w="1417"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(78.1 - 79.4)</w:t>
            </w:r>
          </w:p>
        </w:tc>
        <w:tc>
          <w:tcPr>
            <w:tcW w:w="1843"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83.1</w:t>
            </w:r>
          </w:p>
        </w:tc>
        <w:tc>
          <w:tcPr>
            <w:tcW w:w="1417" w:type="dxa"/>
            <w:shd w:val="clear" w:color="auto" w:fill="auto"/>
            <w:noWrap/>
            <w:vAlign w:val="bottom"/>
            <w:hideMark/>
          </w:tcPr>
          <w:p w:rsidR="004458B0" w:rsidRPr="004458B0" w:rsidRDefault="004458B0" w:rsidP="00D5112C">
            <w:pPr>
              <w:spacing w:after="0" w:line="240" w:lineRule="auto"/>
              <w:jc w:val="center"/>
              <w:rPr>
                <w:rFonts w:eastAsia="Times New Roman" w:cs="Calibri"/>
                <w:color w:val="000000"/>
                <w:lang w:eastAsia="en-GB"/>
              </w:rPr>
            </w:pPr>
            <w:r w:rsidRPr="004458B0">
              <w:rPr>
                <w:rFonts w:eastAsia="Times New Roman" w:cs="Calibri"/>
                <w:color w:val="000000"/>
                <w:lang w:eastAsia="en-GB"/>
              </w:rPr>
              <w:t>(82.5 - 83.7)</w:t>
            </w:r>
          </w:p>
        </w:tc>
      </w:tr>
      <w:tr w:rsidR="004458B0" w:rsidRPr="004458B0" w:rsidTr="00D5112C">
        <w:trPr>
          <w:trHeight w:val="195"/>
        </w:trPr>
        <w:tc>
          <w:tcPr>
            <w:tcW w:w="1716" w:type="dxa"/>
            <w:shd w:val="clear" w:color="auto" w:fill="auto"/>
            <w:noWrap/>
            <w:vAlign w:val="bottom"/>
            <w:hideMark/>
          </w:tcPr>
          <w:p w:rsidR="004458B0" w:rsidRPr="004458B0" w:rsidRDefault="004458B0" w:rsidP="004458B0">
            <w:pPr>
              <w:spacing w:after="0" w:line="240" w:lineRule="auto"/>
              <w:rPr>
                <w:rFonts w:eastAsia="Times New Roman" w:cs="Calibri"/>
                <w:b/>
                <w:bCs/>
                <w:color w:val="000000"/>
                <w:lang w:eastAsia="en-GB"/>
              </w:rPr>
            </w:pPr>
            <w:r w:rsidRPr="004458B0">
              <w:rPr>
                <w:rFonts w:eastAsia="Times New Roman" w:cs="Calibri"/>
                <w:b/>
                <w:bCs/>
                <w:color w:val="000000"/>
                <w:lang w:eastAsia="en-GB"/>
              </w:rPr>
              <w:t>West Sussex</w:t>
            </w:r>
          </w:p>
        </w:tc>
        <w:tc>
          <w:tcPr>
            <w:tcW w:w="1560" w:type="dxa"/>
            <w:shd w:val="clear" w:color="auto" w:fill="auto"/>
            <w:noWrap/>
            <w:vAlign w:val="bottom"/>
            <w:hideMark/>
          </w:tcPr>
          <w:p w:rsidR="004458B0" w:rsidRPr="004458B0" w:rsidRDefault="004458B0" w:rsidP="00D5112C">
            <w:pPr>
              <w:spacing w:after="0" w:line="240" w:lineRule="auto"/>
              <w:jc w:val="center"/>
              <w:rPr>
                <w:rFonts w:eastAsia="Times New Roman" w:cs="Calibri"/>
                <w:b/>
                <w:bCs/>
                <w:color w:val="000000"/>
                <w:lang w:eastAsia="en-GB"/>
              </w:rPr>
            </w:pPr>
            <w:r w:rsidRPr="004458B0">
              <w:rPr>
                <w:rFonts w:eastAsia="Times New Roman" w:cs="Calibri"/>
                <w:b/>
                <w:bCs/>
                <w:color w:val="000000"/>
                <w:lang w:eastAsia="en-GB"/>
              </w:rPr>
              <w:t>80.5</w:t>
            </w:r>
          </w:p>
        </w:tc>
        <w:tc>
          <w:tcPr>
            <w:tcW w:w="1417" w:type="dxa"/>
            <w:shd w:val="clear" w:color="auto" w:fill="auto"/>
            <w:noWrap/>
            <w:vAlign w:val="bottom"/>
            <w:hideMark/>
          </w:tcPr>
          <w:p w:rsidR="004458B0" w:rsidRPr="004458B0" w:rsidRDefault="004458B0" w:rsidP="00D5112C">
            <w:pPr>
              <w:spacing w:after="0" w:line="240" w:lineRule="auto"/>
              <w:jc w:val="center"/>
              <w:rPr>
                <w:rFonts w:eastAsia="Times New Roman" w:cs="Calibri"/>
                <w:b/>
                <w:bCs/>
                <w:color w:val="000000"/>
                <w:lang w:eastAsia="en-GB"/>
              </w:rPr>
            </w:pPr>
            <w:r w:rsidRPr="004458B0">
              <w:rPr>
                <w:rFonts w:eastAsia="Times New Roman" w:cs="Calibri"/>
                <w:b/>
                <w:bCs/>
                <w:color w:val="000000"/>
                <w:lang w:eastAsia="en-GB"/>
              </w:rPr>
              <w:t>(80.3 - 80.8)</w:t>
            </w:r>
          </w:p>
        </w:tc>
        <w:tc>
          <w:tcPr>
            <w:tcW w:w="1843" w:type="dxa"/>
            <w:shd w:val="clear" w:color="auto" w:fill="auto"/>
            <w:noWrap/>
            <w:vAlign w:val="bottom"/>
            <w:hideMark/>
          </w:tcPr>
          <w:p w:rsidR="004458B0" w:rsidRPr="004458B0" w:rsidRDefault="004458B0" w:rsidP="00D5112C">
            <w:pPr>
              <w:spacing w:after="0" w:line="240" w:lineRule="auto"/>
              <w:jc w:val="center"/>
              <w:rPr>
                <w:rFonts w:eastAsia="Times New Roman" w:cs="Calibri"/>
                <w:b/>
                <w:bCs/>
                <w:color w:val="000000"/>
                <w:lang w:eastAsia="en-GB"/>
              </w:rPr>
            </w:pPr>
            <w:r w:rsidRPr="004458B0">
              <w:rPr>
                <w:rFonts w:eastAsia="Times New Roman" w:cs="Calibri"/>
                <w:b/>
                <w:bCs/>
                <w:color w:val="000000"/>
                <w:lang w:eastAsia="en-GB"/>
              </w:rPr>
              <w:t>83.9</w:t>
            </w:r>
          </w:p>
        </w:tc>
        <w:tc>
          <w:tcPr>
            <w:tcW w:w="1417" w:type="dxa"/>
            <w:shd w:val="clear" w:color="auto" w:fill="auto"/>
            <w:noWrap/>
            <w:vAlign w:val="bottom"/>
            <w:hideMark/>
          </w:tcPr>
          <w:p w:rsidR="004458B0" w:rsidRPr="004458B0" w:rsidRDefault="004458B0" w:rsidP="00D5112C">
            <w:pPr>
              <w:spacing w:after="0" w:line="240" w:lineRule="auto"/>
              <w:jc w:val="center"/>
              <w:rPr>
                <w:rFonts w:eastAsia="Times New Roman" w:cs="Calibri"/>
                <w:b/>
                <w:bCs/>
                <w:color w:val="000000"/>
                <w:lang w:eastAsia="en-GB"/>
              </w:rPr>
            </w:pPr>
            <w:r w:rsidRPr="004458B0">
              <w:rPr>
                <w:rFonts w:eastAsia="Times New Roman" w:cs="Calibri"/>
                <w:b/>
                <w:bCs/>
                <w:color w:val="000000"/>
                <w:lang w:eastAsia="en-GB"/>
              </w:rPr>
              <w:t>(83.7 - 84.1)</w:t>
            </w:r>
          </w:p>
        </w:tc>
      </w:tr>
    </w:tbl>
    <w:p w:rsidR="00A86850" w:rsidRPr="00757B21" w:rsidRDefault="00A86850">
      <w:pPr>
        <w:rPr>
          <w:rFonts w:asciiTheme="minorHAnsi" w:hAnsiTheme="minorHAnsi" w:cstheme="minorHAnsi"/>
          <w:b/>
          <w:sz w:val="18"/>
        </w:rPr>
      </w:pPr>
      <w:r w:rsidRPr="00757B21">
        <w:rPr>
          <w:rFonts w:asciiTheme="minorHAnsi" w:hAnsiTheme="minorHAnsi" w:cstheme="minorHAnsi"/>
          <w:b/>
          <w:sz w:val="18"/>
        </w:rPr>
        <w:t>Table 1 – LE for Males and Females by District 2010-2012</w:t>
      </w:r>
    </w:p>
    <w:p w:rsidR="004458B0" w:rsidRDefault="004458B0">
      <w:pPr>
        <w:rPr>
          <w:rFonts w:asciiTheme="minorHAnsi" w:hAnsiTheme="minorHAnsi" w:cstheme="minorHAnsi"/>
        </w:rPr>
      </w:pPr>
    </w:p>
    <w:p w:rsidR="00C55FDE" w:rsidRPr="00757B21" w:rsidRDefault="00B43FCF">
      <w:pPr>
        <w:rPr>
          <w:rFonts w:asciiTheme="minorHAnsi" w:hAnsiTheme="minorHAnsi" w:cstheme="minorHAnsi"/>
        </w:rPr>
      </w:pPr>
      <w:r w:rsidRPr="00757B21">
        <w:rPr>
          <w:rFonts w:asciiTheme="minorHAnsi" w:hAnsiTheme="minorHAnsi" w:cstheme="minorHAnsi"/>
        </w:rPr>
        <w:t xml:space="preserve">Life expectancy has risen steadily for both males and females in all of West Sussex’s districts </w:t>
      </w:r>
      <w:r w:rsidR="004458B0">
        <w:rPr>
          <w:rFonts w:asciiTheme="minorHAnsi" w:hAnsiTheme="minorHAnsi" w:cstheme="minorHAnsi"/>
        </w:rPr>
        <w:t xml:space="preserve">and boroughs </w:t>
      </w:r>
      <w:r w:rsidRPr="00757B21">
        <w:rPr>
          <w:rFonts w:asciiTheme="minorHAnsi" w:hAnsiTheme="minorHAnsi" w:cstheme="minorHAnsi"/>
        </w:rPr>
        <w:t>between 2001-2003 and 2010-</w:t>
      </w:r>
      <w:r w:rsidR="002735C8" w:rsidRPr="00757B21">
        <w:rPr>
          <w:rFonts w:asciiTheme="minorHAnsi" w:hAnsiTheme="minorHAnsi" w:cstheme="minorHAnsi"/>
        </w:rPr>
        <w:t xml:space="preserve">2012. </w:t>
      </w:r>
      <w:r w:rsidR="00D5112C">
        <w:rPr>
          <w:rFonts w:asciiTheme="minorHAnsi" w:hAnsiTheme="minorHAnsi" w:cstheme="minorHAnsi"/>
        </w:rPr>
        <w:t>The Y axis does not start from zero or include confidence intervals to enable easier identification of trends.</w:t>
      </w:r>
      <w:r w:rsidR="00736797">
        <w:rPr>
          <w:rFonts w:asciiTheme="minorHAnsi" w:hAnsiTheme="minorHAnsi" w:cstheme="minorHAnsi"/>
        </w:rPr>
        <w:t xml:space="preserve"> </w:t>
      </w:r>
    </w:p>
    <w:p w:rsidR="00507DB7" w:rsidRPr="00757B21" w:rsidRDefault="005B7792">
      <w:pPr>
        <w:rPr>
          <w:rFonts w:asciiTheme="minorHAnsi" w:hAnsiTheme="minorHAnsi" w:cstheme="minorHAnsi"/>
        </w:rPr>
      </w:pPr>
      <w:r>
        <w:rPr>
          <w:noProof/>
          <w:lang w:eastAsia="en-GB"/>
        </w:rPr>
        <w:drawing>
          <wp:inline distT="0" distB="0" distL="0" distR="0" wp14:anchorId="0CEAC415" wp14:editId="00385225">
            <wp:extent cx="5554766" cy="2743200"/>
            <wp:effectExtent l="0" t="0" r="2730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07DB7" w:rsidRPr="00757B21" w:rsidRDefault="00507DB7">
      <w:pPr>
        <w:rPr>
          <w:rFonts w:asciiTheme="minorHAnsi" w:hAnsiTheme="minorHAnsi" w:cstheme="minorHAnsi"/>
          <w:b/>
          <w:sz w:val="18"/>
        </w:rPr>
      </w:pPr>
      <w:r w:rsidRPr="00757B21">
        <w:rPr>
          <w:rFonts w:asciiTheme="minorHAnsi" w:hAnsiTheme="minorHAnsi" w:cstheme="minorHAnsi"/>
          <w:b/>
          <w:sz w:val="18"/>
        </w:rPr>
        <w:t>Figure 1 – L</w:t>
      </w:r>
      <w:r w:rsidR="00736797">
        <w:rPr>
          <w:rFonts w:asciiTheme="minorHAnsi" w:hAnsiTheme="minorHAnsi" w:cstheme="minorHAnsi"/>
          <w:b/>
          <w:sz w:val="18"/>
        </w:rPr>
        <w:t xml:space="preserve">ife expectancy </w:t>
      </w:r>
      <w:r w:rsidRPr="00757B21">
        <w:rPr>
          <w:rFonts w:asciiTheme="minorHAnsi" w:hAnsiTheme="minorHAnsi" w:cstheme="minorHAnsi"/>
          <w:b/>
          <w:sz w:val="18"/>
        </w:rPr>
        <w:t xml:space="preserve">at birth </w:t>
      </w:r>
      <w:r w:rsidR="00736797">
        <w:rPr>
          <w:rFonts w:asciiTheme="minorHAnsi" w:hAnsiTheme="minorHAnsi" w:cstheme="minorHAnsi"/>
          <w:b/>
          <w:sz w:val="18"/>
        </w:rPr>
        <w:t>20</w:t>
      </w:r>
      <w:r w:rsidRPr="00757B21">
        <w:rPr>
          <w:rFonts w:asciiTheme="minorHAnsi" w:hAnsiTheme="minorHAnsi" w:cstheme="minorHAnsi"/>
          <w:b/>
          <w:sz w:val="18"/>
        </w:rPr>
        <w:t xml:space="preserve">01-03 to </w:t>
      </w:r>
      <w:r w:rsidR="00736797">
        <w:rPr>
          <w:rFonts w:asciiTheme="minorHAnsi" w:hAnsiTheme="minorHAnsi" w:cstheme="minorHAnsi"/>
          <w:b/>
          <w:sz w:val="18"/>
        </w:rPr>
        <w:t>20</w:t>
      </w:r>
      <w:r w:rsidRPr="00757B21">
        <w:rPr>
          <w:rFonts w:asciiTheme="minorHAnsi" w:hAnsiTheme="minorHAnsi" w:cstheme="minorHAnsi"/>
          <w:b/>
          <w:sz w:val="18"/>
        </w:rPr>
        <w:t xml:space="preserve">10-12 </w:t>
      </w:r>
      <w:r w:rsidR="00736797">
        <w:rPr>
          <w:rFonts w:asciiTheme="minorHAnsi" w:hAnsiTheme="minorHAnsi" w:cstheme="minorHAnsi"/>
          <w:b/>
          <w:sz w:val="18"/>
        </w:rPr>
        <w:t xml:space="preserve">by LA </w:t>
      </w:r>
      <w:r w:rsidRPr="00757B21">
        <w:rPr>
          <w:rFonts w:asciiTheme="minorHAnsi" w:hAnsiTheme="minorHAnsi" w:cstheme="minorHAnsi"/>
          <w:b/>
          <w:sz w:val="18"/>
        </w:rPr>
        <w:t>(Males)</w:t>
      </w:r>
    </w:p>
    <w:p w:rsidR="00507DB7" w:rsidRPr="00757B21" w:rsidRDefault="00507DB7">
      <w:pPr>
        <w:rPr>
          <w:rFonts w:asciiTheme="minorHAnsi" w:hAnsiTheme="minorHAnsi" w:cstheme="minorHAnsi"/>
        </w:rPr>
      </w:pPr>
    </w:p>
    <w:p w:rsidR="00507DB7" w:rsidRPr="00757B21" w:rsidRDefault="005B7792">
      <w:pPr>
        <w:rPr>
          <w:rFonts w:asciiTheme="minorHAnsi" w:hAnsiTheme="minorHAnsi" w:cstheme="minorHAnsi"/>
        </w:rPr>
      </w:pPr>
      <w:r>
        <w:rPr>
          <w:noProof/>
          <w:lang w:eastAsia="en-GB"/>
        </w:rPr>
        <w:lastRenderedPageBreak/>
        <w:drawing>
          <wp:inline distT="0" distB="0" distL="0" distR="0" wp14:anchorId="42929809" wp14:editId="721CE2D7">
            <wp:extent cx="5554766" cy="2743200"/>
            <wp:effectExtent l="0" t="0" r="2730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07DB7" w:rsidRPr="00757B21" w:rsidRDefault="00507DB7" w:rsidP="00507DB7">
      <w:pPr>
        <w:rPr>
          <w:rFonts w:asciiTheme="minorHAnsi" w:hAnsiTheme="minorHAnsi" w:cstheme="minorHAnsi"/>
          <w:b/>
          <w:sz w:val="18"/>
        </w:rPr>
      </w:pPr>
      <w:r w:rsidRPr="00757B21">
        <w:rPr>
          <w:rFonts w:asciiTheme="minorHAnsi" w:hAnsiTheme="minorHAnsi" w:cstheme="minorHAnsi"/>
          <w:b/>
          <w:sz w:val="18"/>
        </w:rPr>
        <w:t>Figure 2 – L</w:t>
      </w:r>
      <w:r w:rsidR="00736797">
        <w:rPr>
          <w:rFonts w:asciiTheme="minorHAnsi" w:hAnsiTheme="minorHAnsi" w:cstheme="minorHAnsi"/>
          <w:b/>
          <w:sz w:val="18"/>
        </w:rPr>
        <w:t xml:space="preserve">ife </w:t>
      </w:r>
      <w:r w:rsidRPr="00757B21">
        <w:rPr>
          <w:rFonts w:asciiTheme="minorHAnsi" w:hAnsiTheme="minorHAnsi" w:cstheme="minorHAnsi"/>
          <w:b/>
          <w:sz w:val="18"/>
        </w:rPr>
        <w:t>E</w:t>
      </w:r>
      <w:r w:rsidR="00736797">
        <w:rPr>
          <w:rFonts w:asciiTheme="minorHAnsi" w:hAnsiTheme="minorHAnsi" w:cstheme="minorHAnsi"/>
          <w:b/>
          <w:sz w:val="18"/>
        </w:rPr>
        <w:t>xpectancy</w:t>
      </w:r>
      <w:r w:rsidRPr="00757B21">
        <w:rPr>
          <w:rFonts w:asciiTheme="minorHAnsi" w:hAnsiTheme="minorHAnsi" w:cstheme="minorHAnsi"/>
          <w:b/>
          <w:sz w:val="18"/>
        </w:rPr>
        <w:t xml:space="preserve"> at birth </w:t>
      </w:r>
      <w:r w:rsidR="00736797">
        <w:rPr>
          <w:rFonts w:asciiTheme="minorHAnsi" w:hAnsiTheme="minorHAnsi" w:cstheme="minorHAnsi"/>
          <w:b/>
          <w:sz w:val="18"/>
        </w:rPr>
        <w:t>20</w:t>
      </w:r>
      <w:r w:rsidRPr="00757B21">
        <w:rPr>
          <w:rFonts w:asciiTheme="minorHAnsi" w:hAnsiTheme="minorHAnsi" w:cstheme="minorHAnsi"/>
          <w:b/>
          <w:sz w:val="18"/>
        </w:rPr>
        <w:t xml:space="preserve">01-03 to </w:t>
      </w:r>
      <w:r w:rsidR="00736797">
        <w:rPr>
          <w:rFonts w:asciiTheme="minorHAnsi" w:hAnsiTheme="minorHAnsi" w:cstheme="minorHAnsi"/>
          <w:b/>
          <w:sz w:val="18"/>
        </w:rPr>
        <w:t>20</w:t>
      </w:r>
      <w:r w:rsidRPr="00757B21">
        <w:rPr>
          <w:rFonts w:asciiTheme="minorHAnsi" w:hAnsiTheme="minorHAnsi" w:cstheme="minorHAnsi"/>
          <w:b/>
          <w:sz w:val="18"/>
        </w:rPr>
        <w:t xml:space="preserve">10-12 </w:t>
      </w:r>
      <w:r w:rsidR="00736797">
        <w:rPr>
          <w:rFonts w:asciiTheme="minorHAnsi" w:hAnsiTheme="minorHAnsi" w:cstheme="minorHAnsi"/>
          <w:b/>
          <w:sz w:val="18"/>
        </w:rPr>
        <w:t xml:space="preserve">by LA </w:t>
      </w:r>
      <w:r w:rsidRPr="00757B21">
        <w:rPr>
          <w:rFonts w:asciiTheme="minorHAnsi" w:hAnsiTheme="minorHAnsi" w:cstheme="minorHAnsi"/>
          <w:b/>
          <w:sz w:val="18"/>
        </w:rPr>
        <w:t>(</w:t>
      </w:r>
      <w:r w:rsidR="005E5993">
        <w:rPr>
          <w:rFonts w:asciiTheme="minorHAnsi" w:hAnsiTheme="minorHAnsi" w:cstheme="minorHAnsi"/>
          <w:b/>
          <w:sz w:val="18"/>
        </w:rPr>
        <w:t>Fem</w:t>
      </w:r>
      <w:r w:rsidRPr="00757B21">
        <w:rPr>
          <w:rFonts w:asciiTheme="minorHAnsi" w:hAnsiTheme="minorHAnsi" w:cstheme="minorHAnsi"/>
          <w:b/>
          <w:sz w:val="18"/>
        </w:rPr>
        <w:t>ales)</w:t>
      </w:r>
    </w:p>
    <w:p w:rsidR="00507DB7" w:rsidRDefault="009D2B35">
      <w:pPr>
        <w:rPr>
          <w:rFonts w:asciiTheme="minorHAnsi" w:hAnsiTheme="minorHAnsi" w:cstheme="minorHAnsi"/>
        </w:rPr>
      </w:pPr>
      <w:r>
        <w:rPr>
          <w:rFonts w:asciiTheme="minorHAnsi" w:hAnsiTheme="minorHAnsi" w:cstheme="minorHAnsi"/>
        </w:rPr>
        <w:t xml:space="preserve">Table 2 shows </w:t>
      </w:r>
      <w:r w:rsidR="00507DB7" w:rsidRPr="00757B21">
        <w:rPr>
          <w:rFonts w:asciiTheme="minorHAnsi" w:hAnsiTheme="minorHAnsi" w:cstheme="minorHAnsi"/>
        </w:rPr>
        <w:t>th</w:t>
      </w:r>
      <w:r>
        <w:rPr>
          <w:rFonts w:asciiTheme="minorHAnsi" w:hAnsiTheme="minorHAnsi" w:cstheme="minorHAnsi"/>
        </w:rPr>
        <w:t>at</w:t>
      </w:r>
      <w:r w:rsidR="00507DB7" w:rsidRPr="00757B21">
        <w:rPr>
          <w:rFonts w:asciiTheme="minorHAnsi" w:hAnsiTheme="minorHAnsi" w:cstheme="minorHAnsi"/>
        </w:rPr>
        <w:t xml:space="preserve"> male and female life expectancy </w:t>
      </w:r>
      <w:r>
        <w:rPr>
          <w:rFonts w:asciiTheme="minorHAnsi" w:hAnsiTheme="minorHAnsi" w:cstheme="minorHAnsi"/>
        </w:rPr>
        <w:t>increased in every district between 2001-03 and 2010-1.</w:t>
      </w:r>
      <w:r w:rsidR="00507DB7" w:rsidRPr="00757B21">
        <w:rPr>
          <w:rFonts w:asciiTheme="minorHAnsi" w:hAnsiTheme="minorHAnsi" w:cstheme="minorHAnsi"/>
        </w:rPr>
        <w:t xml:space="preserve"> </w:t>
      </w:r>
      <w:r w:rsidR="005E5993">
        <w:rPr>
          <w:rFonts w:asciiTheme="minorHAnsi" w:hAnsiTheme="minorHAnsi" w:cstheme="minorHAnsi"/>
        </w:rPr>
        <w:t>Estimates are quite volatile</w:t>
      </w:r>
      <w:r w:rsidR="00FC78D0">
        <w:rPr>
          <w:rFonts w:asciiTheme="minorHAnsi" w:hAnsiTheme="minorHAnsi" w:cstheme="minorHAnsi"/>
        </w:rPr>
        <w:t xml:space="preserve"> </w:t>
      </w:r>
      <w:r>
        <w:rPr>
          <w:rFonts w:asciiTheme="minorHAnsi" w:hAnsiTheme="minorHAnsi" w:cstheme="minorHAnsi"/>
        </w:rPr>
        <w:t xml:space="preserve">year on year </w:t>
      </w:r>
      <w:r w:rsidR="00FC78D0">
        <w:rPr>
          <w:rFonts w:asciiTheme="minorHAnsi" w:hAnsiTheme="minorHAnsi" w:cstheme="minorHAnsi"/>
        </w:rPr>
        <w:t>(seen</w:t>
      </w:r>
      <w:r w:rsidR="00FC78D0" w:rsidRPr="00757B21">
        <w:rPr>
          <w:rFonts w:asciiTheme="minorHAnsi" w:hAnsiTheme="minorHAnsi" w:cstheme="minorHAnsi"/>
        </w:rPr>
        <w:t xml:space="preserve"> in Figures 1 and 2)</w:t>
      </w:r>
      <w:r w:rsidR="005E5993">
        <w:rPr>
          <w:rFonts w:asciiTheme="minorHAnsi" w:hAnsiTheme="minorHAnsi" w:cstheme="minorHAnsi"/>
        </w:rPr>
        <w:t>;</w:t>
      </w:r>
      <w:r w:rsidR="00507DB7" w:rsidRPr="00757B21">
        <w:rPr>
          <w:rFonts w:asciiTheme="minorHAnsi" w:hAnsiTheme="minorHAnsi" w:cstheme="minorHAnsi"/>
        </w:rPr>
        <w:t xml:space="preserve"> </w:t>
      </w:r>
      <w:r>
        <w:rPr>
          <w:rFonts w:asciiTheme="minorHAnsi" w:hAnsiTheme="minorHAnsi" w:cstheme="minorHAnsi"/>
        </w:rPr>
        <w:t xml:space="preserve">any differences observed in the increases </w:t>
      </w:r>
      <w:r w:rsidR="005E5993">
        <w:rPr>
          <w:rFonts w:asciiTheme="minorHAnsi" w:hAnsiTheme="minorHAnsi" w:cstheme="minorHAnsi"/>
        </w:rPr>
        <w:t xml:space="preserve">between districts </w:t>
      </w:r>
      <w:r w:rsidR="00507DB7" w:rsidRPr="00757B21">
        <w:rPr>
          <w:rFonts w:asciiTheme="minorHAnsi" w:hAnsiTheme="minorHAnsi" w:cstheme="minorHAnsi"/>
        </w:rPr>
        <w:t>are not consi</w:t>
      </w:r>
      <w:r>
        <w:rPr>
          <w:rFonts w:asciiTheme="minorHAnsi" w:hAnsiTheme="minorHAnsi" w:cstheme="minorHAnsi"/>
        </w:rPr>
        <w:t>dered statisticall</w:t>
      </w:r>
      <w:r w:rsidR="005E5993">
        <w:rPr>
          <w:rFonts w:asciiTheme="minorHAnsi" w:hAnsiTheme="minorHAnsi" w:cstheme="minorHAnsi"/>
        </w:rPr>
        <w:t>y significant.</w:t>
      </w:r>
    </w:p>
    <w:tbl>
      <w:tblPr>
        <w:tblW w:w="6961" w:type="dxa"/>
        <w:tblInd w:w="93" w:type="dxa"/>
        <w:tblLook w:val="04A0" w:firstRow="1" w:lastRow="0" w:firstColumn="1" w:lastColumn="0" w:noHBand="0" w:noVBand="1"/>
      </w:tblPr>
      <w:tblGrid>
        <w:gridCol w:w="2850"/>
        <w:gridCol w:w="1985"/>
        <w:gridCol w:w="2126"/>
      </w:tblGrid>
      <w:tr w:rsidR="00507DB7" w:rsidRPr="00757B21" w:rsidTr="005E5993">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DB7" w:rsidRPr="00757B21" w:rsidRDefault="00507DB7" w:rsidP="00507DB7">
            <w:pPr>
              <w:spacing w:after="0" w:line="240" w:lineRule="auto"/>
              <w:rPr>
                <w:rFonts w:asciiTheme="minorHAnsi" w:eastAsia="Times New Roman" w:hAnsiTheme="minorHAnsi" w:cstheme="minorHAnsi"/>
                <w:color w:val="000000"/>
                <w:lang w:eastAsia="en-GB"/>
              </w:rPr>
            </w:pPr>
            <w:r w:rsidRPr="00757B21">
              <w:rPr>
                <w:rFonts w:asciiTheme="minorHAnsi" w:eastAsia="Times New Roman" w:hAnsiTheme="minorHAnsi" w:cstheme="minorHAnsi"/>
                <w:color w:val="000000"/>
                <w:lang w:eastAsia="en-GB"/>
              </w:rPr>
              <w:t xml:space="preserve">Change </w:t>
            </w:r>
            <w:r w:rsidR="005E5993">
              <w:rPr>
                <w:rFonts w:asciiTheme="minorHAnsi" w:eastAsia="Times New Roman" w:hAnsiTheme="minorHAnsi" w:cstheme="minorHAnsi"/>
                <w:color w:val="000000"/>
                <w:lang w:eastAsia="en-GB"/>
              </w:rPr>
              <w:t>20</w:t>
            </w:r>
            <w:r w:rsidRPr="00757B21">
              <w:rPr>
                <w:rFonts w:asciiTheme="minorHAnsi" w:eastAsia="Times New Roman" w:hAnsiTheme="minorHAnsi" w:cstheme="minorHAnsi"/>
                <w:color w:val="000000"/>
                <w:lang w:eastAsia="en-GB"/>
              </w:rPr>
              <w:t xml:space="preserve">01-03 to </w:t>
            </w:r>
            <w:r w:rsidR="005E5993">
              <w:rPr>
                <w:rFonts w:asciiTheme="minorHAnsi" w:eastAsia="Times New Roman" w:hAnsiTheme="minorHAnsi" w:cstheme="minorHAnsi"/>
                <w:color w:val="000000"/>
                <w:lang w:eastAsia="en-GB"/>
              </w:rPr>
              <w:t>20</w:t>
            </w:r>
            <w:r w:rsidRPr="00757B21">
              <w:rPr>
                <w:rFonts w:asciiTheme="minorHAnsi" w:eastAsia="Times New Roman" w:hAnsiTheme="minorHAnsi" w:cstheme="minorHAnsi"/>
                <w:color w:val="000000"/>
                <w:lang w:eastAsia="en-GB"/>
              </w:rPr>
              <w:t>10-12</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507DB7" w:rsidRPr="00757B21" w:rsidRDefault="005E5993" w:rsidP="00507DB7">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Change in Male LE</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507DB7" w:rsidRPr="00757B21" w:rsidRDefault="005E5993" w:rsidP="00507DB7">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Change in Female LE</w:t>
            </w:r>
          </w:p>
        </w:tc>
      </w:tr>
      <w:tr w:rsidR="00507DB7" w:rsidRPr="00757B21" w:rsidTr="005E5993">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507DB7" w:rsidRPr="00757B21" w:rsidRDefault="00507DB7" w:rsidP="00507DB7">
            <w:pPr>
              <w:spacing w:after="0" w:line="240" w:lineRule="auto"/>
              <w:rPr>
                <w:rFonts w:asciiTheme="minorHAnsi" w:eastAsia="Times New Roman" w:hAnsiTheme="minorHAnsi" w:cstheme="minorHAnsi"/>
                <w:b/>
                <w:bCs/>
                <w:color w:val="000000"/>
                <w:lang w:eastAsia="en-GB"/>
              </w:rPr>
            </w:pPr>
            <w:r w:rsidRPr="00757B21">
              <w:rPr>
                <w:rFonts w:asciiTheme="minorHAnsi" w:eastAsia="Times New Roman" w:hAnsiTheme="minorHAnsi" w:cstheme="minorHAnsi"/>
                <w:b/>
                <w:bCs/>
                <w:color w:val="000000"/>
                <w:lang w:eastAsia="en-GB"/>
              </w:rPr>
              <w:t>West Sussex</w:t>
            </w:r>
          </w:p>
        </w:tc>
        <w:tc>
          <w:tcPr>
            <w:tcW w:w="1985" w:type="dxa"/>
            <w:tcBorders>
              <w:top w:val="nil"/>
              <w:left w:val="nil"/>
              <w:bottom w:val="single" w:sz="4" w:space="0" w:color="auto"/>
              <w:right w:val="single" w:sz="4" w:space="0" w:color="auto"/>
            </w:tcBorders>
            <w:shd w:val="clear" w:color="auto" w:fill="auto"/>
            <w:noWrap/>
            <w:vAlign w:val="bottom"/>
            <w:hideMark/>
          </w:tcPr>
          <w:p w:rsidR="00507DB7" w:rsidRPr="00757B21" w:rsidRDefault="00507DB7" w:rsidP="00507DB7">
            <w:pPr>
              <w:spacing w:after="0" w:line="240" w:lineRule="auto"/>
              <w:jc w:val="center"/>
              <w:rPr>
                <w:rFonts w:asciiTheme="minorHAnsi" w:eastAsia="Times New Roman" w:hAnsiTheme="minorHAnsi" w:cstheme="minorHAnsi"/>
                <w:b/>
                <w:bCs/>
                <w:color w:val="000000"/>
                <w:lang w:eastAsia="en-GB"/>
              </w:rPr>
            </w:pPr>
            <w:r w:rsidRPr="00757B21">
              <w:rPr>
                <w:rFonts w:asciiTheme="minorHAnsi" w:eastAsia="Times New Roman" w:hAnsiTheme="minorHAnsi" w:cstheme="minorHAnsi"/>
                <w:b/>
                <w:bCs/>
                <w:color w:val="000000"/>
                <w:lang w:eastAsia="en-GB"/>
              </w:rPr>
              <w:t>2.8</w:t>
            </w:r>
          </w:p>
        </w:tc>
        <w:tc>
          <w:tcPr>
            <w:tcW w:w="2126" w:type="dxa"/>
            <w:tcBorders>
              <w:top w:val="nil"/>
              <w:left w:val="nil"/>
              <w:bottom w:val="single" w:sz="4" w:space="0" w:color="auto"/>
              <w:right w:val="single" w:sz="4" w:space="0" w:color="auto"/>
            </w:tcBorders>
            <w:shd w:val="clear" w:color="auto" w:fill="auto"/>
            <w:noWrap/>
            <w:vAlign w:val="bottom"/>
            <w:hideMark/>
          </w:tcPr>
          <w:p w:rsidR="00507DB7" w:rsidRPr="0057185A" w:rsidRDefault="005B7792" w:rsidP="00507DB7">
            <w:pPr>
              <w:spacing w:after="0" w:line="240" w:lineRule="auto"/>
              <w:jc w:val="center"/>
              <w:rPr>
                <w:rFonts w:asciiTheme="minorHAnsi" w:eastAsia="Times New Roman" w:hAnsiTheme="minorHAnsi" w:cstheme="minorHAnsi"/>
                <w:b/>
                <w:bCs/>
                <w:color w:val="000000"/>
                <w:lang w:eastAsia="en-GB"/>
              </w:rPr>
            </w:pPr>
            <w:r w:rsidRPr="0057185A">
              <w:rPr>
                <w:rFonts w:asciiTheme="minorHAnsi" w:eastAsia="Times New Roman" w:hAnsiTheme="minorHAnsi" w:cstheme="minorHAnsi"/>
                <w:b/>
                <w:bCs/>
                <w:color w:val="000000"/>
                <w:lang w:eastAsia="en-GB"/>
              </w:rPr>
              <w:t>2.0</w:t>
            </w:r>
          </w:p>
        </w:tc>
      </w:tr>
      <w:tr w:rsidR="00507DB7" w:rsidRPr="00757B21" w:rsidTr="005E5993">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507DB7" w:rsidRPr="00757B21" w:rsidRDefault="00507DB7" w:rsidP="00507DB7">
            <w:pPr>
              <w:spacing w:after="0" w:line="240" w:lineRule="auto"/>
              <w:rPr>
                <w:rFonts w:asciiTheme="minorHAnsi" w:eastAsia="Times New Roman" w:hAnsiTheme="minorHAnsi" w:cstheme="minorHAnsi"/>
                <w:color w:val="000000"/>
                <w:lang w:eastAsia="en-GB"/>
              </w:rPr>
            </w:pPr>
            <w:proofErr w:type="spellStart"/>
            <w:r w:rsidRPr="00757B21">
              <w:rPr>
                <w:rFonts w:asciiTheme="minorHAnsi" w:eastAsia="Times New Roman" w:hAnsiTheme="minorHAnsi" w:cstheme="minorHAnsi"/>
                <w:color w:val="000000"/>
                <w:lang w:eastAsia="en-GB"/>
              </w:rPr>
              <w:t>Adur</w:t>
            </w:r>
            <w:proofErr w:type="spellEnd"/>
          </w:p>
        </w:tc>
        <w:tc>
          <w:tcPr>
            <w:tcW w:w="1985" w:type="dxa"/>
            <w:tcBorders>
              <w:top w:val="nil"/>
              <w:left w:val="nil"/>
              <w:bottom w:val="single" w:sz="4" w:space="0" w:color="auto"/>
              <w:right w:val="single" w:sz="4" w:space="0" w:color="auto"/>
            </w:tcBorders>
            <w:shd w:val="clear" w:color="auto" w:fill="auto"/>
            <w:noWrap/>
            <w:vAlign w:val="bottom"/>
            <w:hideMark/>
          </w:tcPr>
          <w:p w:rsidR="00507DB7" w:rsidRPr="00757B21" w:rsidRDefault="005B7792" w:rsidP="00507DB7">
            <w:pPr>
              <w:spacing w:after="0"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3.1</w:t>
            </w:r>
          </w:p>
        </w:tc>
        <w:tc>
          <w:tcPr>
            <w:tcW w:w="2126" w:type="dxa"/>
            <w:tcBorders>
              <w:top w:val="nil"/>
              <w:left w:val="nil"/>
              <w:bottom w:val="single" w:sz="4" w:space="0" w:color="auto"/>
              <w:right w:val="single" w:sz="4" w:space="0" w:color="auto"/>
            </w:tcBorders>
            <w:shd w:val="clear" w:color="auto" w:fill="auto"/>
            <w:noWrap/>
            <w:vAlign w:val="bottom"/>
            <w:hideMark/>
          </w:tcPr>
          <w:p w:rsidR="00507DB7" w:rsidRPr="0057185A" w:rsidRDefault="005B7792" w:rsidP="00507DB7">
            <w:pPr>
              <w:spacing w:after="0" w:line="240" w:lineRule="auto"/>
              <w:jc w:val="center"/>
              <w:rPr>
                <w:rFonts w:asciiTheme="minorHAnsi" w:eastAsia="Times New Roman" w:hAnsiTheme="minorHAnsi" w:cstheme="minorHAnsi"/>
                <w:color w:val="000000"/>
                <w:lang w:eastAsia="en-GB"/>
              </w:rPr>
            </w:pPr>
            <w:r w:rsidRPr="0057185A">
              <w:rPr>
                <w:rFonts w:asciiTheme="minorHAnsi" w:eastAsia="Times New Roman" w:hAnsiTheme="minorHAnsi" w:cstheme="minorHAnsi"/>
                <w:color w:val="000000"/>
                <w:lang w:eastAsia="en-GB"/>
              </w:rPr>
              <w:t>0.9</w:t>
            </w:r>
          </w:p>
        </w:tc>
      </w:tr>
      <w:tr w:rsidR="00507DB7" w:rsidRPr="00757B21" w:rsidTr="005E5993">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507DB7" w:rsidRPr="00757B21" w:rsidRDefault="00507DB7" w:rsidP="00507DB7">
            <w:pPr>
              <w:spacing w:after="0" w:line="240" w:lineRule="auto"/>
              <w:rPr>
                <w:rFonts w:asciiTheme="minorHAnsi" w:eastAsia="Times New Roman" w:hAnsiTheme="minorHAnsi" w:cstheme="minorHAnsi"/>
                <w:color w:val="000000"/>
                <w:lang w:eastAsia="en-GB"/>
              </w:rPr>
            </w:pPr>
            <w:proofErr w:type="spellStart"/>
            <w:r w:rsidRPr="00757B21">
              <w:rPr>
                <w:rFonts w:asciiTheme="minorHAnsi" w:eastAsia="Times New Roman" w:hAnsiTheme="minorHAnsi" w:cstheme="minorHAnsi"/>
                <w:color w:val="000000"/>
                <w:lang w:eastAsia="en-GB"/>
              </w:rPr>
              <w:t>Arun</w:t>
            </w:r>
            <w:proofErr w:type="spellEnd"/>
          </w:p>
        </w:tc>
        <w:tc>
          <w:tcPr>
            <w:tcW w:w="1985" w:type="dxa"/>
            <w:tcBorders>
              <w:top w:val="nil"/>
              <w:left w:val="nil"/>
              <w:bottom w:val="single" w:sz="4" w:space="0" w:color="auto"/>
              <w:right w:val="single" w:sz="4" w:space="0" w:color="auto"/>
            </w:tcBorders>
            <w:shd w:val="clear" w:color="auto" w:fill="auto"/>
            <w:noWrap/>
            <w:vAlign w:val="bottom"/>
            <w:hideMark/>
          </w:tcPr>
          <w:p w:rsidR="00507DB7" w:rsidRPr="00757B21" w:rsidRDefault="00507DB7" w:rsidP="00507DB7">
            <w:pPr>
              <w:spacing w:after="0" w:line="240" w:lineRule="auto"/>
              <w:jc w:val="center"/>
              <w:rPr>
                <w:rFonts w:asciiTheme="minorHAnsi" w:eastAsia="Times New Roman" w:hAnsiTheme="minorHAnsi" w:cstheme="minorHAnsi"/>
                <w:color w:val="000000"/>
                <w:lang w:eastAsia="en-GB"/>
              </w:rPr>
            </w:pPr>
            <w:r w:rsidRPr="00757B21">
              <w:rPr>
                <w:rFonts w:asciiTheme="minorHAnsi" w:eastAsia="Times New Roman" w:hAnsiTheme="minorHAnsi" w:cstheme="minorHAnsi"/>
                <w:color w:val="000000"/>
                <w:lang w:eastAsia="en-GB"/>
              </w:rPr>
              <w:t>2.2</w:t>
            </w:r>
          </w:p>
        </w:tc>
        <w:tc>
          <w:tcPr>
            <w:tcW w:w="2126" w:type="dxa"/>
            <w:tcBorders>
              <w:top w:val="nil"/>
              <w:left w:val="nil"/>
              <w:bottom w:val="single" w:sz="4" w:space="0" w:color="auto"/>
              <w:right w:val="single" w:sz="4" w:space="0" w:color="auto"/>
            </w:tcBorders>
            <w:shd w:val="clear" w:color="auto" w:fill="auto"/>
            <w:noWrap/>
            <w:vAlign w:val="bottom"/>
            <w:hideMark/>
          </w:tcPr>
          <w:p w:rsidR="00507DB7" w:rsidRPr="0057185A" w:rsidRDefault="0057185A" w:rsidP="00507DB7">
            <w:pPr>
              <w:spacing w:after="0"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1.7</w:t>
            </w:r>
          </w:p>
        </w:tc>
      </w:tr>
      <w:tr w:rsidR="00507DB7" w:rsidRPr="00757B21" w:rsidTr="005E5993">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507DB7" w:rsidRPr="00757B21" w:rsidRDefault="00507DB7" w:rsidP="00507DB7">
            <w:pPr>
              <w:spacing w:after="0" w:line="240" w:lineRule="auto"/>
              <w:rPr>
                <w:rFonts w:asciiTheme="minorHAnsi" w:eastAsia="Times New Roman" w:hAnsiTheme="minorHAnsi" w:cstheme="minorHAnsi"/>
                <w:color w:val="000000"/>
                <w:lang w:eastAsia="en-GB"/>
              </w:rPr>
            </w:pPr>
            <w:r w:rsidRPr="00757B21">
              <w:rPr>
                <w:rFonts w:asciiTheme="minorHAnsi" w:eastAsia="Times New Roman" w:hAnsiTheme="minorHAnsi" w:cstheme="minorHAnsi"/>
                <w:color w:val="000000"/>
                <w:lang w:eastAsia="en-GB"/>
              </w:rPr>
              <w:t>Chichester</w:t>
            </w:r>
          </w:p>
        </w:tc>
        <w:tc>
          <w:tcPr>
            <w:tcW w:w="1985" w:type="dxa"/>
            <w:tcBorders>
              <w:top w:val="nil"/>
              <w:left w:val="nil"/>
              <w:bottom w:val="single" w:sz="4" w:space="0" w:color="auto"/>
              <w:right w:val="single" w:sz="4" w:space="0" w:color="auto"/>
            </w:tcBorders>
            <w:shd w:val="clear" w:color="auto" w:fill="auto"/>
            <w:noWrap/>
            <w:vAlign w:val="bottom"/>
            <w:hideMark/>
          </w:tcPr>
          <w:p w:rsidR="00507DB7" w:rsidRPr="00757B21" w:rsidRDefault="00507DB7" w:rsidP="00507DB7">
            <w:pPr>
              <w:spacing w:after="0" w:line="240" w:lineRule="auto"/>
              <w:jc w:val="center"/>
              <w:rPr>
                <w:rFonts w:asciiTheme="minorHAnsi" w:eastAsia="Times New Roman" w:hAnsiTheme="minorHAnsi" w:cstheme="minorHAnsi"/>
                <w:color w:val="000000"/>
                <w:lang w:eastAsia="en-GB"/>
              </w:rPr>
            </w:pPr>
            <w:r w:rsidRPr="00757B21">
              <w:rPr>
                <w:rFonts w:asciiTheme="minorHAnsi" w:eastAsia="Times New Roman" w:hAnsiTheme="minorHAnsi" w:cstheme="minorHAnsi"/>
                <w:color w:val="000000"/>
                <w:lang w:eastAsia="en-GB"/>
              </w:rPr>
              <w:t>3.1</w:t>
            </w:r>
          </w:p>
        </w:tc>
        <w:tc>
          <w:tcPr>
            <w:tcW w:w="2126" w:type="dxa"/>
            <w:tcBorders>
              <w:top w:val="nil"/>
              <w:left w:val="nil"/>
              <w:bottom w:val="single" w:sz="4" w:space="0" w:color="auto"/>
              <w:right w:val="single" w:sz="4" w:space="0" w:color="auto"/>
            </w:tcBorders>
            <w:shd w:val="clear" w:color="auto" w:fill="auto"/>
            <w:noWrap/>
            <w:vAlign w:val="bottom"/>
            <w:hideMark/>
          </w:tcPr>
          <w:p w:rsidR="00507DB7" w:rsidRPr="0057185A" w:rsidRDefault="0057185A" w:rsidP="00507DB7">
            <w:pPr>
              <w:spacing w:after="0"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2.3</w:t>
            </w:r>
          </w:p>
        </w:tc>
      </w:tr>
      <w:tr w:rsidR="00507DB7" w:rsidRPr="00757B21" w:rsidTr="005E5993">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507DB7" w:rsidRPr="00757B21" w:rsidRDefault="00507DB7" w:rsidP="00507DB7">
            <w:pPr>
              <w:spacing w:after="0" w:line="240" w:lineRule="auto"/>
              <w:rPr>
                <w:rFonts w:asciiTheme="minorHAnsi" w:eastAsia="Times New Roman" w:hAnsiTheme="minorHAnsi" w:cstheme="minorHAnsi"/>
                <w:color w:val="000000"/>
                <w:lang w:eastAsia="en-GB"/>
              </w:rPr>
            </w:pPr>
            <w:r w:rsidRPr="00757B21">
              <w:rPr>
                <w:rFonts w:asciiTheme="minorHAnsi" w:eastAsia="Times New Roman" w:hAnsiTheme="minorHAnsi" w:cstheme="minorHAnsi"/>
                <w:color w:val="000000"/>
                <w:lang w:eastAsia="en-GB"/>
              </w:rPr>
              <w:t>Crawley</w:t>
            </w:r>
          </w:p>
        </w:tc>
        <w:tc>
          <w:tcPr>
            <w:tcW w:w="1985" w:type="dxa"/>
            <w:tcBorders>
              <w:top w:val="nil"/>
              <w:left w:val="nil"/>
              <w:bottom w:val="single" w:sz="4" w:space="0" w:color="auto"/>
              <w:right w:val="single" w:sz="4" w:space="0" w:color="auto"/>
            </w:tcBorders>
            <w:shd w:val="clear" w:color="auto" w:fill="auto"/>
            <w:noWrap/>
            <w:vAlign w:val="bottom"/>
            <w:hideMark/>
          </w:tcPr>
          <w:p w:rsidR="00507DB7" w:rsidRPr="00757B21" w:rsidRDefault="00507DB7" w:rsidP="00507DB7">
            <w:pPr>
              <w:spacing w:after="0" w:line="240" w:lineRule="auto"/>
              <w:jc w:val="center"/>
              <w:rPr>
                <w:rFonts w:asciiTheme="minorHAnsi" w:eastAsia="Times New Roman" w:hAnsiTheme="minorHAnsi" w:cstheme="minorHAnsi"/>
                <w:color w:val="000000"/>
                <w:lang w:eastAsia="en-GB"/>
              </w:rPr>
            </w:pPr>
            <w:r w:rsidRPr="00757B21">
              <w:rPr>
                <w:rFonts w:asciiTheme="minorHAnsi" w:eastAsia="Times New Roman" w:hAnsiTheme="minorHAnsi" w:cstheme="minorHAnsi"/>
                <w:color w:val="000000"/>
                <w:lang w:eastAsia="en-GB"/>
              </w:rPr>
              <w:t>1.1</w:t>
            </w:r>
          </w:p>
        </w:tc>
        <w:tc>
          <w:tcPr>
            <w:tcW w:w="2126" w:type="dxa"/>
            <w:tcBorders>
              <w:top w:val="nil"/>
              <w:left w:val="nil"/>
              <w:bottom w:val="single" w:sz="4" w:space="0" w:color="auto"/>
              <w:right w:val="single" w:sz="4" w:space="0" w:color="auto"/>
            </w:tcBorders>
            <w:shd w:val="clear" w:color="auto" w:fill="auto"/>
            <w:noWrap/>
            <w:vAlign w:val="bottom"/>
            <w:hideMark/>
          </w:tcPr>
          <w:p w:rsidR="00507DB7" w:rsidRPr="0057185A" w:rsidRDefault="0057185A" w:rsidP="00507DB7">
            <w:pPr>
              <w:spacing w:after="0"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2.7</w:t>
            </w:r>
          </w:p>
        </w:tc>
      </w:tr>
      <w:tr w:rsidR="00507DB7" w:rsidRPr="00757B21" w:rsidTr="005E5993">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507DB7" w:rsidRPr="00757B21" w:rsidRDefault="00507DB7" w:rsidP="00507DB7">
            <w:pPr>
              <w:spacing w:after="0" w:line="240" w:lineRule="auto"/>
              <w:rPr>
                <w:rFonts w:asciiTheme="minorHAnsi" w:eastAsia="Times New Roman" w:hAnsiTheme="minorHAnsi" w:cstheme="minorHAnsi"/>
                <w:color w:val="000000"/>
                <w:lang w:eastAsia="en-GB"/>
              </w:rPr>
            </w:pPr>
            <w:r w:rsidRPr="00757B21">
              <w:rPr>
                <w:rFonts w:asciiTheme="minorHAnsi" w:eastAsia="Times New Roman" w:hAnsiTheme="minorHAnsi" w:cstheme="minorHAnsi"/>
                <w:color w:val="000000"/>
                <w:lang w:eastAsia="en-GB"/>
              </w:rPr>
              <w:t>Horsham</w:t>
            </w:r>
          </w:p>
        </w:tc>
        <w:tc>
          <w:tcPr>
            <w:tcW w:w="1985" w:type="dxa"/>
            <w:tcBorders>
              <w:top w:val="nil"/>
              <w:left w:val="nil"/>
              <w:bottom w:val="single" w:sz="4" w:space="0" w:color="auto"/>
              <w:right w:val="single" w:sz="4" w:space="0" w:color="auto"/>
            </w:tcBorders>
            <w:shd w:val="clear" w:color="auto" w:fill="auto"/>
            <w:noWrap/>
            <w:vAlign w:val="bottom"/>
            <w:hideMark/>
          </w:tcPr>
          <w:p w:rsidR="00507DB7" w:rsidRPr="00757B21" w:rsidRDefault="00507DB7" w:rsidP="00507DB7">
            <w:pPr>
              <w:spacing w:after="0" w:line="240" w:lineRule="auto"/>
              <w:jc w:val="center"/>
              <w:rPr>
                <w:rFonts w:asciiTheme="minorHAnsi" w:eastAsia="Times New Roman" w:hAnsiTheme="minorHAnsi" w:cstheme="minorHAnsi"/>
                <w:color w:val="000000"/>
                <w:lang w:eastAsia="en-GB"/>
              </w:rPr>
            </w:pPr>
            <w:r w:rsidRPr="00757B21">
              <w:rPr>
                <w:rFonts w:asciiTheme="minorHAnsi" w:eastAsia="Times New Roman" w:hAnsiTheme="minorHAnsi" w:cstheme="minorHAnsi"/>
                <w:color w:val="000000"/>
                <w:lang w:eastAsia="en-GB"/>
              </w:rPr>
              <w:t>3.1</w:t>
            </w:r>
          </w:p>
        </w:tc>
        <w:tc>
          <w:tcPr>
            <w:tcW w:w="2126" w:type="dxa"/>
            <w:tcBorders>
              <w:top w:val="nil"/>
              <w:left w:val="nil"/>
              <w:bottom w:val="single" w:sz="4" w:space="0" w:color="auto"/>
              <w:right w:val="single" w:sz="4" w:space="0" w:color="auto"/>
            </w:tcBorders>
            <w:shd w:val="clear" w:color="auto" w:fill="auto"/>
            <w:noWrap/>
            <w:vAlign w:val="bottom"/>
            <w:hideMark/>
          </w:tcPr>
          <w:p w:rsidR="00507DB7" w:rsidRPr="0057185A" w:rsidRDefault="0057185A" w:rsidP="00507DB7">
            <w:pPr>
              <w:spacing w:after="0"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1.6</w:t>
            </w:r>
          </w:p>
        </w:tc>
      </w:tr>
      <w:tr w:rsidR="00507DB7" w:rsidRPr="00757B21" w:rsidTr="005E5993">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507DB7" w:rsidRPr="00757B21" w:rsidRDefault="00507DB7" w:rsidP="00507DB7">
            <w:pPr>
              <w:spacing w:after="0" w:line="240" w:lineRule="auto"/>
              <w:rPr>
                <w:rFonts w:asciiTheme="minorHAnsi" w:eastAsia="Times New Roman" w:hAnsiTheme="minorHAnsi" w:cstheme="minorHAnsi"/>
                <w:color w:val="000000"/>
                <w:lang w:eastAsia="en-GB"/>
              </w:rPr>
            </w:pPr>
            <w:r w:rsidRPr="00757B21">
              <w:rPr>
                <w:rFonts w:asciiTheme="minorHAnsi" w:eastAsia="Times New Roman" w:hAnsiTheme="minorHAnsi" w:cstheme="minorHAnsi"/>
                <w:color w:val="000000"/>
                <w:lang w:eastAsia="en-GB"/>
              </w:rPr>
              <w:t>Mid Sussex</w:t>
            </w:r>
          </w:p>
        </w:tc>
        <w:tc>
          <w:tcPr>
            <w:tcW w:w="1985" w:type="dxa"/>
            <w:tcBorders>
              <w:top w:val="nil"/>
              <w:left w:val="nil"/>
              <w:bottom w:val="single" w:sz="4" w:space="0" w:color="auto"/>
              <w:right w:val="single" w:sz="4" w:space="0" w:color="auto"/>
            </w:tcBorders>
            <w:shd w:val="clear" w:color="auto" w:fill="auto"/>
            <w:noWrap/>
            <w:vAlign w:val="bottom"/>
            <w:hideMark/>
          </w:tcPr>
          <w:p w:rsidR="00507DB7" w:rsidRPr="00757B21" w:rsidRDefault="00507DB7" w:rsidP="00507DB7">
            <w:pPr>
              <w:spacing w:after="0" w:line="240" w:lineRule="auto"/>
              <w:jc w:val="center"/>
              <w:rPr>
                <w:rFonts w:asciiTheme="minorHAnsi" w:eastAsia="Times New Roman" w:hAnsiTheme="minorHAnsi" w:cstheme="minorHAnsi"/>
                <w:color w:val="000000"/>
                <w:lang w:eastAsia="en-GB"/>
              </w:rPr>
            </w:pPr>
            <w:r w:rsidRPr="00757B21">
              <w:rPr>
                <w:rFonts w:asciiTheme="minorHAnsi" w:eastAsia="Times New Roman" w:hAnsiTheme="minorHAnsi" w:cstheme="minorHAnsi"/>
                <w:color w:val="000000"/>
                <w:lang w:eastAsia="en-GB"/>
              </w:rPr>
              <w:t>4.2</w:t>
            </w:r>
          </w:p>
        </w:tc>
        <w:tc>
          <w:tcPr>
            <w:tcW w:w="2126" w:type="dxa"/>
            <w:tcBorders>
              <w:top w:val="nil"/>
              <w:left w:val="nil"/>
              <w:bottom w:val="single" w:sz="4" w:space="0" w:color="auto"/>
              <w:right w:val="single" w:sz="4" w:space="0" w:color="auto"/>
            </w:tcBorders>
            <w:shd w:val="clear" w:color="auto" w:fill="auto"/>
            <w:noWrap/>
            <w:vAlign w:val="bottom"/>
            <w:hideMark/>
          </w:tcPr>
          <w:p w:rsidR="00507DB7" w:rsidRPr="0057185A" w:rsidRDefault="0057185A" w:rsidP="00507DB7">
            <w:pPr>
              <w:spacing w:after="0"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1.7</w:t>
            </w:r>
          </w:p>
        </w:tc>
      </w:tr>
      <w:tr w:rsidR="00507DB7" w:rsidRPr="00757B21" w:rsidTr="005E5993">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507DB7" w:rsidRPr="00757B21" w:rsidRDefault="00507DB7" w:rsidP="00507DB7">
            <w:pPr>
              <w:spacing w:after="0" w:line="240" w:lineRule="auto"/>
              <w:rPr>
                <w:rFonts w:asciiTheme="minorHAnsi" w:eastAsia="Times New Roman" w:hAnsiTheme="minorHAnsi" w:cstheme="minorHAnsi"/>
                <w:color w:val="000000"/>
                <w:lang w:eastAsia="en-GB"/>
              </w:rPr>
            </w:pPr>
            <w:r w:rsidRPr="00757B21">
              <w:rPr>
                <w:rFonts w:asciiTheme="minorHAnsi" w:eastAsia="Times New Roman" w:hAnsiTheme="minorHAnsi" w:cstheme="minorHAnsi"/>
                <w:color w:val="000000"/>
                <w:lang w:eastAsia="en-GB"/>
              </w:rPr>
              <w:t>Worthing</w:t>
            </w:r>
          </w:p>
        </w:tc>
        <w:tc>
          <w:tcPr>
            <w:tcW w:w="1985" w:type="dxa"/>
            <w:tcBorders>
              <w:top w:val="nil"/>
              <w:left w:val="nil"/>
              <w:bottom w:val="single" w:sz="4" w:space="0" w:color="auto"/>
              <w:right w:val="single" w:sz="4" w:space="0" w:color="auto"/>
            </w:tcBorders>
            <w:shd w:val="clear" w:color="auto" w:fill="auto"/>
            <w:noWrap/>
            <w:vAlign w:val="bottom"/>
            <w:hideMark/>
          </w:tcPr>
          <w:p w:rsidR="00507DB7" w:rsidRPr="00757B21" w:rsidRDefault="00507DB7" w:rsidP="00507DB7">
            <w:pPr>
              <w:spacing w:after="0" w:line="240" w:lineRule="auto"/>
              <w:jc w:val="center"/>
              <w:rPr>
                <w:rFonts w:asciiTheme="minorHAnsi" w:eastAsia="Times New Roman" w:hAnsiTheme="minorHAnsi" w:cstheme="minorHAnsi"/>
                <w:color w:val="000000"/>
                <w:lang w:eastAsia="en-GB"/>
              </w:rPr>
            </w:pPr>
            <w:r w:rsidRPr="00757B21">
              <w:rPr>
                <w:rFonts w:asciiTheme="minorHAnsi" w:eastAsia="Times New Roman" w:hAnsiTheme="minorHAnsi" w:cstheme="minorHAnsi"/>
                <w:color w:val="000000"/>
                <w:lang w:eastAsia="en-GB"/>
              </w:rPr>
              <w:t>2.4</w:t>
            </w:r>
          </w:p>
        </w:tc>
        <w:tc>
          <w:tcPr>
            <w:tcW w:w="2126" w:type="dxa"/>
            <w:tcBorders>
              <w:top w:val="nil"/>
              <w:left w:val="nil"/>
              <w:bottom w:val="single" w:sz="4" w:space="0" w:color="auto"/>
              <w:right w:val="single" w:sz="4" w:space="0" w:color="auto"/>
            </w:tcBorders>
            <w:shd w:val="clear" w:color="auto" w:fill="auto"/>
            <w:noWrap/>
            <w:vAlign w:val="bottom"/>
            <w:hideMark/>
          </w:tcPr>
          <w:p w:rsidR="00507DB7" w:rsidRPr="0057185A" w:rsidRDefault="0057185A" w:rsidP="00507DB7">
            <w:pPr>
              <w:spacing w:after="0"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2.0</w:t>
            </w:r>
          </w:p>
        </w:tc>
      </w:tr>
    </w:tbl>
    <w:p w:rsidR="00507DB7" w:rsidRPr="00757B21" w:rsidRDefault="00507DB7">
      <w:pPr>
        <w:rPr>
          <w:rFonts w:asciiTheme="minorHAnsi" w:hAnsiTheme="minorHAnsi" w:cstheme="minorHAnsi"/>
          <w:b/>
          <w:sz w:val="18"/>
        </w:rPr>
      </w:pPr>
      <w:r w:rsidRPr="00757B21">
        <w:rPr>
          <w:rFonts w:asciiTheme="minorHAnsi" w:hAnsiTheme="minorHAnsi" w:cstheme="minorHAnsi"/>
          <w:b/>
          <w:sz w:val="18"/>
        </w:rPr>
        <w:t xml:space="preserve">Table 2 – Total change in LE by district </w:t>
      </w:r>
      <w:r w:rsidR="005E5993">
        <w:rPr>
          <w:rFonts w:asciiTheme="minorHAnsi" w:hAnsiTheme="minorHAnsi" w:cstheme="minorHAnsi"/>
          <w:b/>
          <w:sz w:val="18"/>
        </w:rPr>
        <w:t>20</w:t>
      </w:r>
      <w:r w:rsidRPr="00757B21">
        <w:rPr>
          <w:rFonts w:asciiTheme="minorHAnsi" w:hAnsiTheme="minorHAnsi" w:cstheme="minorHAnsi"/>
          <w:b/>
          <w:sz w:val="18"/>
        </w:rPr>
        <w:t xml:space="preserve">01-03 to </w:t>
      </w:r>
      <w:r w:rsidR="005E5993">
        <w:rPr>
          <w:rFonts w:asciiTheme="minorHAnsi" w:hAnsiTheme="minorHAnsi" w:cstheme="minorHAnsi"/>
          <w:b/>
          <w:sz w:val="18"/>
        </w:rPr>
        <w:t>20</w:t>
      </w:r>
      <w:r w:rsidRPr="00757B21">
        <w:rPr>
          <w:rFonts w:asciiTheme="minorHAnsi" w:hAnsiTheme="minorHAnsi" w:cstheme="minorHAnsi"/>
          <w:b/>
          <w:sz w:val="18"/>
        </w:rPr>
        <w:t>10-12</w:t>
      </w:r>
    </w:p>
    <w:p w:rsidR="007824D1" w:rsidRDefault="007824D1">
      <w:pPr>
        <w:rPr>
          <w:rFonts w:asciiTheme="minorHAnsi" w:hAnsiTheme="minorHAnsi" w:cstheme="minorHAnsi"/>
          <w:b/>
        </w:rPr>
      </w:pPr>
    </w:p>
    <w:p w:rsidR="00171C0F" w:rsidRPr="00757B21" w:rsidRDefault="00171C0F">
      <w:pPr>
        <w:rPr>
          <w:rFonts w:asciiTheme="minorHAnsi" w:hAnsiTheme="minorHAnsi" w:cstheme="minorHAnsi"/>
          <w:b/>
        </w:rPr>
      </w:pPr>
      <w:r w:rsidRPr="00757B21">
        <w:rPr>
          <w:rFonts w:asciiTheme="minorHAnsi" w:hAnsiTheme="minorHAnsi" w:cstheme="minorHAnsi"/>
          <w:b/>
        </w:rPr>
        <w:t>The Social Gradient of Life Expectancy</w:t>
      </w:r>
    </w:p>
    <w:p w:rsidR="00171C0F" w:rsidRPr="00757B21" w:rsidRDefault="00171C0F">
      <w:pPr>
        <w:rPr>
          <w:rFonts w:asciiTheme="minorHAnsi" w:hAnsiTheme="minorHAnsi" w:cstheme="minorHAnsi"/>
        </w:rPr>
      </w:pPr>
      <w:r w:rsidRPr="00757B21">
        <w:rPr>
          <w:rFonts w:asciiTheme="minorHAnsi" w:hAnsiTheme="minorHAnsi" w:cstheme="minorHAnsi"/>
        </w:rPr>
        <w:t>Life expectancy has b</w:t>
      </w:r>
      <w:r w:rsidR="00D0147E">
        <w:rPr>
          <w:rFonts w:asciiTheme="minorHAnsi" w:hAnsiTheme="minorHAnsi" w:cstheme="minorHAnsi"/>
        </w:rPr>
        <w:t>een found to be associated with</w:t>
      </w:r>
      <w:r w:rsidRPr="00757B21">
        <w:rPr>
          <w:rFonts w:asciiTheme="minorHAnsi" w:hAnsiTheme="minorHAnsi" w:cstheme="minorHAnsi"/>
        </w:rPr>
        <w:t xml:space="preserve"> </w:t>
      </w:r>
      <w:r w:rsidR="00E70363">
        <w:rPr>
          <w:rFonts w:asciiTheme="minorHAnsi" w:hAnsiTheme="minorHAnsi" w:cstheme="minorHAnsi"/>
        </w:rPr>
        <w:t>deprivation</w:t>
      </w:r>
      <w:r w:rsidRPr="00757B21">
        <w:rPr>
          <w:rStyle w:val="FootnoteReference"/>
          <w:rFonts w:asciiTheme="minorHAnsi" w:hAnsiTheme="minorHAnsi" w:cstheme="minorHAnsi"/>
        </w:rPr>
        <w:footnoteReference w:id="4"/>
      </w:r>
      <w:r w:rsidRPr="00757B21">
        <w:rPr>
          <w:rFonts w:asciiTheme="minorHAnsi" w:hAnsiTheme="minorHAnsi" w:cstheme="minorHAnsi"/>
        </w:rPr>
        <w:t xml:space="preserve"> </w:t>
      </w:r>
      <w:r w:rsidR="008616B1" w:rsidRPr="00757B21">
        <w:rPr>
          <w:rFonts w:asciiTheme="minorHAnsi" w:hAnsiTheme="minorHAnsi" w:cstheme="minorHAnsi"/>
        </w:rPr>
        <w:t>and</w:t>
      </w:r>
      <w:r w:rsidRPr="00757B21">
        <w:rPr>
          <w:rFonts w:asciiTheme="minorHAnsi" w:hAnsiTheme="minorHAnsi" w:cstheme="minorHAnsi"/>
        </w:rPr>
        <w:t xml:space="preserve"> social gradients </w:t>
      </w:r>
      <w:r w:rsidR="00D0147E">
        <w:rPr>
          <w:rFonts w:asciiTheme="minorHAnsi" w:hAnsiTheme="minorHAnsi" w:cstheme="minorHAnsi"/>
        </w:rPr>
        <w:t xml:space="preserve">(the average change in life expectancy with each successive </w:t>
      </w:r>
      <w:proofErr w:type="spellStart"/>
      <w:r w:rsidR="00D0147E">
        <w:rPr>
          <w:rFonts w:asciiTheme="minorHAnsi" w:hAnsiTheme="minorHAnsi" w:cstheme="minorHAnsi"/>
        </w:rPr>
        <w:t>decile</w:t>
      </w:r>
      <w:proofErr w:type="spellEnd"/>
      <w:r w:rsidR="00D0147E">
        <w:rPr>
          <w:rFonts w:asciiTheme="minorHAnsi" w:hAnsiTheme="minorHAnsi" w:cstheme="minorHAnsi"/>
        </w:rPr>
        <w:t xml:space="preserve"> of deprivation</w:t>
      </w:r>
      <w:r w:rsidR="00E70363">
        <w:rPr>
          <w:rStyle w:val="FootnoteReference"/>
          <w:rFonts w:asciiTheme="minorHAnsi" w:hAnsiTheme="minorHAnsi" w:cstheme="minorHAnsi"/>
        </w:rPr>
        <w:footnoteReference w:id="5"/>
      </w:r>
      <w:r w:rsidR="00D0147E">
        <w:rPr>
          <w:rFonts w:asciiTheme="minorHAnsi" w:hAnsiTheme="minorHAnsi" w:cstheme="minorHAnsi"/>
        </w:rPr>
        <w:t xml:space="preserve">) </w:t>
      </w:r>
      <w:r w:rsidRPr="00757B21">
        <w:rPr>
          <w:rFonts w:asciiTheme="minorHAnsi" w:hAnsiTheme="minorHAnsi" w:cstheme="minorHAnsi"/>
        </w:rPr>
        <w:t xml:space="preserve">at county level </w:t>
      </w:r>
      <w:r w:rsidR="00D0147E">
        <w:rPr>
          <w:rFonts w:asciiTheme="minorHAnsi" w:hAnsiTheme="minorHAnsi" w:cstheme="minorHAnsi"/>
        </w:rPr>
        <w:t>are</w:t>
      </w:r>
      <w:r w:rsidRPr="00757B21">
        <w:rPr>
          <w:rFonts w:asciiTheme="minorHAnsi" w:hAnsiTheme="minorHAnsi" w:cstheme="minorHAnsi"/>
        </w:rPr>
        <w:t xml:space="preserve"> routinely published by Public Health England</w:t>
      </w:r>
      <w:r w:rsidR="007824D1">
        <w:rPr>
          <w:rFonts w:asciiTheme="minorHAnsi" w:hAnsiTheme="minorHAnsi" w:cstheme="minorHAnsi"/>
        </w:rPr>
        <w:t xml:space="preserve"> (termed the Slope Index of Inequality or SII)</w:t>
      </w:r>
      <w:r w:rsidRPr="00757B21">
        <w:rPr>
          <w:rStyle w:val="FootnoteReference"/>
          <w:rFonts w:asciiTheme="minorHAnsi" w:hAnsiTheme="minorHAnsi" w:cstheme="minorHAnsi"/>
        </w:rPr>
        <w:footnoteReference w:id="6"/>
      </w:r>
      <w:r w:rsidRPr="00757B21">
        <w:rPr>
          <w:rFonts w:asciiTheme="minorHAnsi" w:hAnsiTheme="minorHAnsi" w:cstheme="minorHAnsi"/>
        </w:rPr>
        <w:t xml:space="preserve">. We have replicated these calculations for both males and females </w:t>
      </w:r>
      <w:r w:rsidR="00FC78D0">
        <w:rPr>
          <w:rFonts w:asciiTheme="minorHAnsi" w:hAnsiTheme="minorHAnsi" w:cstheme="minorHAnsi"/>
        </w:rPr>
        <w:t xml:space="preserve">at three </w:t>
      </w:r>
      <w:r w:rsidR="00F56879" w:rsidRPr="00757B21">
        <w:rPr>
          <w:rFonts w:asciiTheme="minorHAnsi" w:hAnsiTheme="minorHAnsi" w:cstheme="minorHAnsi"/>
        </w:rPr>
        <w:t>year time periods</w:t>
      </w:r>
      <w:r w:rsidR="00275A87" w:rsidRPr="00757B21">
        <w:rPr>
          <w:rFonts w:asciiTheme="minorHAnsi" w:hAnsiTheme="minorHAnsi" w:cstheme="minorHAnsi"/>
        </w:rPr>
        <w:t xml:space="preserve"> </w:t>
      </w:r>
      <w:r w:rsidR="008616B1" w:rsidRPr="00757B21">
        <w:rPr>
          <w:rFonts w:asciiTheme="minorHAnsi" w:hAnsiTheme="minorHAnsi" w:cstheme="minorHAnsi"/>
        </w:rPr>
        <w:t>to assess whether the gradient has changed</w:t>
      </w:r>
      <w:r w:rsidRPr="00757B21">
        <w:rPr>
          <w:rFonts w:asciiTheme="minorHAnsi" w:hAnsiTheme="minorHAnsi" w:cstheme="minorHAnsi"/>
        </w:rPr>
        <w:t xml:space="preserve">. </w:t>
      </w:r>
      <w:r w:rsidR="008616B1" w:rsidRPr="00757B21">
        <w:rPr>
          <w:rFonts w:asciiTheme="minorHAnsi" w:hAnsiTheme="minorHAnsi" w:cstheme="minorHAnsi"/>
        </w:rPr>
        <w:t>A steeper gradient</w:t>
      </w:r>
      <w:r w:rsidR="00D0147E">
        <w:rPr>
          <w:rFonts w:asciiTheme="minorHAnsi" w:hAnsiTheme="minorHAnsi" w:cstheme="minorHAnsi"/>
        </w:rPr>
        <w:t xml:space="preserve"> (a higher value)</w:t>
      </w:r>
      <w:r w:rsidR="008616B1" w:rsidRPr="00757B21">
        <w:rPr>
          <w:rFonts w:asciiTheme="minorHAnsi" w:hAnsiTheme="minorHAnsi" w:cstheme="minorHAnsi"/>
        </w:rPr>
        <w:t xml:space="preserve"> indicates greater social inequality.</w:t>
      </w:r>
    </w:p>
    <w:p w:rsidR="00BA0F2E" w:rsidRPr="00757B21" w:rsidRDefault="00BA0F2E">
      <w:pPr>
        <w:rPr>
          <w:rFonts w:asciiTheme="minorHAnsi" w:hAnsiTheme="minorHAnsi" w:cstheme="minorHAnsi"/>
        </w:rPr>
      </w:pPr>
      <w:r w:rsidRPr="00757B21">
        <w:rPr>
          <w:rFonts w:asciiTheme="minorHAnsi" w:hAnsiTheme="minorHAnsi" w:cstheme="minorHAnsi"/>
        </w:rPr>
        <w:lastRenderedPageBreak/>
        <w:t xml:space="preserve">In </w:t>
      </w:r>
      <w:r w:rsidR="00D0147E">
        <w:rPr>
          <w:rFonts w:asciiTheme="minorHAnsi" w:hAnsiTheme="minorHAnsi" w:cstheme="minorHAnsi"/>
        </w:rPr>
        <w:t>20</w:t>
      </w:r>
      <w:r w:rsidRPr="00757B21">
        <w:rPr>
          <w:rFonts w:asciiTheme="minorHAnsi" w:hAnsiTheme="minorHAnsi" w:cstheme="minorHAnsi"/>
        </w:rPr>
        <w:t>10-12</w:t>
      </w:r>
      <w:r w:rsidR="00D0147E">
        <w:rPr>
          <w:rFonts w:asciiTheme="minorHAnsi" w:hAnsiTheme="minorHAnsi" w:cstheme="minorHAnsi"/>
        </w:rPr>
        <w:t>,</w:t>
      </w:r>
      <w:r w:rsidRPr="00757B21">
        <w:rPr>
          <w:rFonts w:asciiTheme="minorHAnsi" w:hAnsiTheme="minorHAnsi" w:cstheme="minorHAnsi"/>
        </w:rPr>
        <w:t xml:space="preserve"> </w:t>
      </w:r>
      <w:r w:rsidR="00D0147E">
        <w:rPr>
          <w:rFonts w:asciiTheme="minorHAnsi" w:hAnsiTheme="minorHAnsi" w:cstheme="minorHAnsi"/>
        </w:rPr>
        <w:t>m</w:t>
      </w:r>
      <w:r w:rsidR="008621A0" w:rsidRPr="00757B21">
        <w:rPr>
          <w:rFonts w:asciiTheme="minorHAnsi" w:hAnsiTheme="minorHAnsi" w:cstheme="minorHAnsi"/>
        </w:rPr>
        <w:t xml:space="preserve">en in the least deprived tenth of the county </w:t>
      </w:r>
      <w:r w:rsidRPr="00757B21">
        <w:rPr>
          <w:rFonts w:asciiTheme="minorHAnsi" w:hAnsiTheme="minorHAnsi" w:cstheme="minorHAnsi"/>
        </w:rPr>
        <w:t>were</w:t>
      </w:r>
      <w:r w:rsidR="008621A0" w:rsidRPr="00757B21">
        <w:rPr>
          <w:rFonts w:asciiTheme="minorHAnsi" w:hAnsiTheme="minorHAnsi" w:cstheme="minorHAnsi"/>
        </w:rPr>
        <w:t xml:space="preserve"> living 8.8 years longer than men in the most deprived tenth, up from 7.8 years</w:t>
      </w:r>
      <w:r w:rsidRPr="00757B21">
        <w:rPr>
          <w:rFonts w:asciiTheme="minorHAnsi" w:hAnsiTheme="minorHAnsi" w:cstheme="minorHAnsi"/>
        </w:rPr>
        <w:t xml:space="preserve"> in </w:t>
      </w:r>
      <w:r w:rsidR="00D0147E">
        <w:rPr>
          <w:rFonts w:asciiTheme="minorHAnsi" w:hAnsiTheme="minorHAnsi" w:cstheme="minorHAnsi"/>
        </w:rPr>
        <w:t>20</w:t>
      </w:r>
      <w:r w:rsidRPr="00757B21">
        <w:rPr>
          <w:rFonts w:asciiTheme="minorHAnsi" w:hAnsiTheme="minorHAnsi" w:cstheme="minorHAnsi"/>
        </w:rPr>
        <w:t>01-03</w:t>
      </w:r>
      <w:r w:rsidR="008621A0" w:rsidRPr="00757B21">
        <w:rPr>
          <w:rFonts w:asciiTheme="minorHAnsi" w:hAnsiTheme="minorHAnsi" w:cstheme="minorHAnsi"/>
        </w:rPr>
        <w:t xml:space="preserve">. For women the difference has moved from 4.2 to 7.2 years. </w:t>
      </w:r>
    </w:p>
    <w:p w:rsidR="00171C0F" w:rsidRDefault="007824D1">
      <w:pPr>
        <w:rPr>
          <w:rFonts w:asciiTheme="minorHAnsi" w:hAnsiTheme="minorHAnsi" w:cstheme="minorHAnsi"/>
        </w:rPr>
      </w:pPr>
      <w:r>
        <w:rPr>
          <w:rFonts w:asciiTheme="minorHAnsi" w:hAnsiTheme="minorHAnsi" w:cstheme="minorHAnsi"/>
        </w:rPr>
        <w:t>The Slope Index of I</w:t>
      </w:r>
      <w:r w:rsidR="008621A0" w:rsidRPr="00757B21">
        <w:rPr>
          <w:rFonts w:asciiTheme="minorHAnsi" w:hAnsiTheme="minorHAnsi" w:cstheme="minorHAnsi"/>
        </w:rPr>
        <w:t xml:space="preserve">nequality increased so that each </w:t>
      </w:r>
      <w:proofErr w:type="spellStart"/>
      <w:r w:rsidR="008621A0" w:rsidRPr="00757B21">
        <w:rPr>
          <w:rFonts w:asciiTheme="minorHAnsi" w:hAnsiTheme="minorHAnsi" w:cstheme="minorHAnsi"/>
        </w:rPr>
        <w:t>decile</w:t>
      </w:r>
      <w:proofErr w:type="spellEnd"/>
      <w:r w:rsidR="008621A0" w:rsidRPr="00757B21">
        <w:rPr>
          <w:rFonts w:asciiTheme="minorHAnsi" w:hAnsiTheme="minorHAnsi" w:cstheme="minorHAnsi"/>
        </w:rPr>
        <w:t xml:space="preserve"> above the most deprived </w:t>
      </w:r>
      <w:r w:rsidR="00965A8C" w:rsidRPr="00757B21">
        <w:rPr>
          <w:rFonts w:asciiTheme="minorHAnsi" w:hAnsiTheme="minorHAnsi" w:cstheme="minorHAnsi"/>
        </w:rPr>
        <w:t>represented</w:t>
      </w:r>
      <w:r w:rsidR="008621A0" w:rsidRPr="00757B21">
        <w:rPr>
          <w:rFonts w:asciiTheme="minorHAnsi" w:hAnsiTheme="minorHAnsi" w:cstheme="minorHAnsi"/>
        </w:rPr>
        <w:t xml:space="preserve"> </w:t>
      </w:r>
      <w:r w:rsidR="0057185A">
        <w:rPr>
          <w:rFonts w:asciiTheme="minorHAnsi" w:hAnsiTheme="minorHAnsi" w:cstheme="minorHAnsi"/>
        </w:rPr>
        <w:t>an average of 0.69</w:t>
      </w:r>
      <w:r w:rsidR="00965A8C" w:rsidRPr="00757B21">
        <w:rPr>
          <w:rFonts w:asciiTheme="minorHAnsi" w:hAnsiTheme="minorHAnsi" w:cstheme="minorHAnsi"/>
        </w:rPr>
        <w:t xml:space="preserve"> </w:t>
      </w:r>
      <w:r>
        <w:rPr>
          <w:rFonts w:asciiTheme="minorHAnsi" w:hAnsiTheme="minorHAnsi" w:cstheme="minorHAnsi"/>
        </w:rPr>
        <w:t xml:space="preserve">years of LE </w:t>
      </w:r>
      <w:r w:rsidR="00965A8C" w:rsidRPr="00757B21">
        <w:rPr>
          <w:rFonts w:asciiTheme="minorHAnsi" w:hAnsiTheme="minorHAnsi" w:cstheme="minorHAnsi"/>
        </w:rPr>
        <w:t>for each person in West Sussex</w:t>
      </w:r>
      <w:r w:rsidR="0057185A">
        <w:rPr>
          <w:rFonts w:asciiTheme="minorHAnsi" w:hAnsiTheme="minorHAnsi" w:cstheme="minorHAnsi"/>
        </w:rPr>
        <w:t xml:space="preserve"> in </w:t>
      </w:r>
      <w:r>
        <w:rPr>
          <w:rFonts w:asciiTheme="minorHAnsi" w:hAnsiTheme="minorHAnsi" w:cstheme="minorHAnsi"/>
        </w:rPr>
        <w:t>20</w:t>
      </w:r>
      <w:r w:rsidR="0057185A">
        <w:rPr>
          <w:rFonts w:asciiTheme="minorHAnsi" w:hAnsiTheme="minorHAnsi" w:cstheme="minorHAnsi"/>
        </w:rPr>
        <w:t>10-12, an increase from 0.59</w:t>
      </w:r>
      <w:r w:rsidR="00965A8C" w:rsidRPr="00757B21">
        <w:rPr>
          <w:rFonts w:asciiTheme="minorHAnsi" w:hAnsiTheme="minorHAnsi" w:cstheme="minorHAnsi"/>
        </w:rPr>
        <w:t xml:space="preserve"> </w:t>
      </w:r>
      <w:r>
        <w:rPr>
          <w:rFonts w:asciiTheme="minorHAnsi" w:hAnsiTheme="minorHAnsi" w:cstheme="minorHAnsi"/>
        </w:rPr>
        <w:t xml:space="preserve">years </w:t>
      </w:r>
      <w:r w:rsidR="00965A8C" w:rsidRPr="00757B21">
        <w:rPr>
          <w:rFonts w:asciiTheme="minorHAnsi" w:hAnsiTheme="minorHAnsi" w:cstheme="minorHAnsi"/>
        </w:rPr>
        <w:t xml:space="preserve">in </w:t>
      </w:r>
      <w:r>
        <w:rPr>
          <w:rFonts w:asciiTheme="minorHAnsi" w:hAnsiTheme="minorHAnsi" w:cstheme="minorHAnsi"/>
        </w:rPr>
        <w:t>20</w:t>
      </w:r>
      <w:r w:rsidR="00965A8C" w:rsidRPr="00757B21">
        <w:rPr>
          <w:rFonts w:asciiTheme="minorHAnsi" w:hAnsiTheme="minorHAnsi" w:cstheme="minorHAnsi"/>
        </w:rPr>
        <w:t xml:space="preserve">01-03. This change was largely among women, where the </w:t>
      </w:r>
      <w:r>
        <w:rPr>
          <w:rFonts w:asciiTheme="minorHAnsi" w:hAnsiTheme="minorHAnsi" w:cstheme="minorHAnsi"/>
        </w:rPr>
        <w:t>SII</w:t>
      </w:r>
      <w:r w:rsidR="00965A8C" w:rsidRPr="00757B21">
        <w:rPr>
          <w:rFonts w:asciiTheme="minorHAnsi" w:hAnsiTheme="minorHAnsi" w:cstheme="minorHAnsi"/>
        </w:rPr>
        <w:t xml:space="preserve"> increased from 0.4</w:t>
      </w:r>
      <w:r w:rsidR="0057185A">
        <w:rPr>
          <w:rFonts w:asciiTheme="minorHAnsi" w:hAnsiTheme="minorHAnsi" w:cstheme="minorHAnsi"/>
        </w:rPr>
        <w:t>5</w:t>
      </w:r>
      <w:r w:rsidR="00965A8C" w:rsidRPr="00757B21">
        <w:rPr>
          <w:rFonts w:asciiTheme="minorHAnsi" w:hAnsiTheme="minorHAnsi" w:cstheme="minorHAnsi"/>
        </w:rPr>
        <w:t xml:space="preserve"> years t</w:t>
      </w:r>
      <w:r w:rsidR="0057185A">
        <w:rPr>
          <w:rFonts w:asciiTheme="minorHAnsi" w:hAnsiTheme="minorHAnsi" w:cstheme="minorHAnsi"/>
        </w:rPr>
        <w:t>o 0.62</w:t>
      </w:r>
      <w:r>
        <w:rPr>
          <w:rFonts w:asciiTheme="minorHAnsi" w:hAnsiTheme="minorHAnsi" w:cstheme="minorHAnsi"/>
        </w:rPr>
        <w:t xml:space="preserve"> years per </w:t>
      </w:r>
      <w:proofErr w:type="spellStart"/>
      <w:r>
        <w:rPr>
          <w:rFonts w:asciiTheme="minorHAnsi" w:hAnsiTheme="minorHAnsi" w:cstheme="minorHAnsi"/>
        </w:rPr>
        <w:t>decile</w:t>
      </w:r>
      <w:proofErr w:type="spellEnd"/>
      <w:r>
        <w:rPr>
          <w:rFonts w:asciiTheme="minorHAnsi" w:hAnsiTheme="minorHAnsi" w:cstheme="minorHAnsi"/>
        </w:rPr>
        <w:t xml:space="preserve">; </w:t>
      </w:r>
      <w:r w:rsidR="0057185A">
        <w:rPr>
          <w:rFonts w:asciiTheme="minorHAnsi" w:hAnsiTheme="minorHAnsi" w:cstheme="minorHAnsi"/>
        </w:rPr>
        <w:t>for men the change was from 0.74 to 0.76</w:t>
      </w:r>
      <w:r>
        <w:rPr>
          <w:rFonts w:asciiTheme="minorHAnsi" w:hAnsiTheme="minorHAnsi" w:cstheme="minorHAnsi"/>
        </w:rPr>
        <w:t xml:space="preserve"> years</w:t>
      </w:r>
      <w:r w:rsidR="00965A8C" w:rsidRPr="00757B21">
        <w:rPr>
          <w:rFonts w:asciiTheme="minorHAnsi" w:hAnsiTheme="minorHAnsi" w:cstheme="minorHAnsi"/>
        </w:rPr>
        <w:t>.</w:t>
      </w:r>
    </w:p>
    <w:p w:rsidR="00B041A1" w:rsidRDefault="003F4E04" w:rsidP="003F4E04">
      <w:pPr>
        <w:spacing w:after="0"/>
        <w:rPr>
          <w:rFonts w:asciiTheme="minorHAnsi" w:hAnsiTheme="minorHAnsi" w:cstheme="minorHAnsi"/>
        </w:rPr>
      </w:pPr>
      <w:r>
        <w:rPr>
          <w:noProof/>
          <w:lang w:eastAsia="en-GB"/>
        </w:rPr>
        <w:drawing>
          <wp:inline distT="0" distB="0" distL="0" distR="0" wp14:anchorId="172895AA" wp14:editId="7285E535">
            <wp:extent cx="5618375" cy="2573518"/>
            <wp:effectExtent l="0" t="0" r="20955" b="177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F4E04" w:rsidRPr="003F4E04" w:rsidRDefault="003F4E04" w:rsidP="003F4E04">
      <w:pPr>
        <w:spacing w:after="0"/>
        <w:rPr>
          <w:rFonts w:asciiTheme="minorHAnsi" w:hAnsiTheme="minorHAnsi" w:cstheme="minorHAnsi"/>
          <w:b/>
          <w:sz w:val="20"/>
        </w:rPr>
      </w:pPr>
      <w:r w:rsidRPr="003F4E04">
        <w:rPr>
          <w:rFonts w:asciiTheme="minorHAnsi" w:hAnsiTheme="minorHAnsi" w:cstheme="minorHAnsi"/>
          <w:b/>
          <w:sz w:val="20"/>
        </w:rPr>
        <w:t>Figure 3 – Slope Index of Inequality in Life Expectancy at Birth in 2001-06 and 2007-12</w:t>
      </w:r>
    </w:p>
    <w:p w:rsidR="003F4E04" w:rsidRPr="00757B21" w:rsidRDefault="003F4E04">
      <w:pPr>
        <w:rPr>
          <w:rFonts w:asciiTheme="minorHAnsi" w:hAnsiTheme="minorHAnsi" w:cstheme="minorHAnsi"/>
        </w:rPr>
      </w:pPr>
    </w:p>
    <w:p w:rsidR="004F7E13" w:rsidRPr="00757B21" w:rsidRDefault="00965A8C">
      <w:pPr>
        <w:rPr>
          <w:rFonts w:asciiTheme="minorHAnsi" w:hAnsiTheme="minorHAnsi" w:cstheme="minorHAnsi"/>
        </w:rPr>
      </w:pPr>
      <w:r w:rsidRPr="00757B21">
        <w:rPr>
          <w:rFonts w:asciiTheme="minorHAnsi" w:hAnsiTheme="minorHAnsi" w:cstheme="minorHAnsi"/>
        </w:rPr>
        <w:t xml:space="preserve">Despite LE having risen </w:t>
      </w:r>
      <w:r w:rsidR="001A1BF9">
        <w:rPr>
          <w:rFonts w:asciiTheme="minorHAnsi" w:hAnsiTheme="minorHAnsi" w:cstheme="minorHAnsi"/>
        </w:rPr>
        <w:t>in all districts</w:t>
      </w:r>
      <w:r w:rsidRPr="00757B21">
        <w:rPr>
          <w:rFonts w:asciiTheme="minorHAnsi" w:hAnsiTheme="minorHAnsi" w:cstheme="minorHAnsi"/>
        </w:rPr>
        <w:t xml:space="preserve"> in West Sussex,</w:t>
      </w:r>
      <w:r w:rsidR="00275A87" w:rsidRPr="00757B21">
        <w:rPr>
          <w:rFonts w:asciiTheme="minorHAnsi" w:hAnsiTheme="minorHAnsi" w:cstheme="minorHAnsi"/>
        </w:rPr>
        <w:t xml:space="preserve"> inequali</w:t>
      </w:r>
      <w:r w:rsidRPr="00757B21">
        <w:rPr>
          <w:rFonts w:asciiTheme="minorHAnsi" w:hAnsiTheme="minorHAnsi" w:cstheme="minorHAnsi"/>
        </w:rPr>
        <w:t>ty in its distribution has therefore increased</w:t>
      </w:r>
      <w:r w:rsidR="00275A87" w:rsidRPr="00757B21">
        <w:rPr>
          <w:rFonts w:asciiTheme="minorHAnsi" w:hAnsiTheme="minorHAnsi" w:cstheme="minorHAnsi"/>
        </w:rPr>
        <w:t xml:space="preserve">. </w:t>
      </w:r>
      <w:r w:rsidR="004F7E13" w:rsidRPr="00757B21">
        <w:rPr>
          <w:rFonts w:asciiTheme="minorHAnsi" w:hAnsiTheme="minorHAnsi" w:cstheme="minorHAnsi"/>
        </w:rPr>
        <w:t>This change is considered statistically significant</w:t>
      </w:r>
      <w:r w:rsidRPr="00757B21">
        <w:rPr>
          <w:rFonts w:asciiTheme="minorHAnsi" w:hAnsiTheme="minorHAnsi" w:cstheme="minorHAnsi"/>
        </w:rPr>
        <w:t xml:space="preserve"> for women and all persons combined but not for men</w:t>
      </w:r>
      <w:r w:rsidR="004F7E13" w:rsidRPr="00757B21">
        <w:rPr>
          <w:rStyle w:val="FootnoteReference"/>
          <w:rFonts w:asciiTheme="minorHAnsi" w:hAnsiTheme="minorHAnsi" w:cstheme="minorHAnsi"/>
        </w:rPr>
        <w:footnoteReference w:id="7"/>
      </w:r>
      <w:r w:rsidR="004F7E13" w:rsidRPr="00757B21">
        <w:rPr>
          <w:rFonts w:asciiTheme="minorHAnsi" w:hAnsiTheme="minorHAnsi" w:cstheme="minorHAnsi"/>
        </w:rPr>
        <w:t>.</w:t>
      </w:r>
      <w:r w:rsidR="00A44CCB">
        <w:rPr>
          <w:rFonts w:asciiTheme="minorHAnsi" w:hAnsiTheme="minorHAnsi" w:cstheme="minorHAnsi"/>
        </w:rPr>
        <w:t xml:space="preserve"> Results are in Table 3</w:t>
      </w:r>
      <w:r w:rsidR="007824D1">
        <w:rPr>
          <w:rFonts w:asciiTheme="minorHAnsi" w:hAnsiTheme="minorHAnsi" w:cstheme="minorHAnsi"/>
        </w:rPr>
        <w:t xml:space="preserve"> with significant changes highlighted in red.</w:t>
      </w:r>
    </w:p>
    <w:tbl>
      <w:tblPr>
        <w:tblW w:w="7621" w:type="dxa"/>
        <w:tblInd w:w="93" w:type="dxa"/>
        <w:tblLook w:val="04A0" w:firstRow="1" w:lastRow="0" w:firstColumn="1" w:lastColumn="0" w:noHBand="0" w:noVBand="1"/>
      </w:tblPr>
      <w:tblGrid>
        <w:gridCol w:w="1320"/>
        <w:gridCol w:w="1221"/>
        <w:gridCol w:w="630"/>
        <w:gridCol w:w="630"/>
        <w:gridCol w:w="1230"/>
        <w:gridCol w:w="635"/>
        <w:gridCol w:w="635"/>
        <w:gridCol w:w="1320"/>
      </w:tblGrid>
      <w:tr w:rsidR="00A957A6" w:rsidRPr="00A957A6" w:rsidTr="00A957A6">
        <w:trPr>
          <w:trHeight w:val="30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7A6" w:rsidRPr="00A957A6" w:rsidRDefault="00A957A6" w:rsidP="00A957A6">
            <w:pPr>
              <w:spacing w:after="0" w:line="240" w:lineRule="auto"/>
              <w:rPr>
                <w:rFonts w:asciiTheme="minorHAnsi" w:eastAsia="Times New Roman" w:hAnsiTheme="minorHAnsi" w:cstheme="minorHAnsi"/>
                <w:color w:val="000000"/>
                <w:lang w:eastAsia="en-GB"/>
              </w:rPr>
            </w:pPr>
            <w:r w:rsidRPr="00A957A6">
              <w:rPr>
                <w:rFonts w:asciiTheme="minorHAnsi" w:eastAsia="Times New Roman" w:hAnsiTheme="minorHAnsi" w:cstheme="minorHAnsi"/>
                <w:color w:val="000000"/>
                <w:lang w:eastAsia="en-GB"/>
              </w:rPr>
              <w:t> </w:t>
            </w:r>
          </w:p>
        </w:tc>
        <w:tc>
          <w:tcPr>
            <w:tcW w:w="2481" w:type="dxa"/>
            <w:gridSpan w:val="3"/>
            <w:tcBorders>
              <w:top w:val="single" w:sz="4" w:space="0" w:color="auto"/>
              <w:left w:val="nil"/>
              <w:bottom w:val="single" w:sz="4" w:space="0" w:color="auto"/>
              <w:right w:val="single" w:sz="4" w:space="0" w:color="000000"/>
            </w:tcBorders>
            <w:shd w:val="clear" w:color="auto" w:fill="auto"/>
            <w:noWrap/>
            <w:vAlign w:val="bottom"/>
            <w:hideMark/>
          </w:tcPr>
          <w:p w:rsidR="00A957A6" w:rsidRPr="00A957A6" w:rsidRDefault="00A957A6" w:rsidP="00A957A6">
            <w:pPr>
              <w:spacing w:after="0" w:line="240" w:lineRule="auto"/>
              <w:jc w:val="center"/>
              <w:rPr>
                <w:rFonts w:asciiTheme="minorHAnsi" w:eastAsia="Times New Roman" w:hAnsiTheme="minorHAnsi" w:cstheme="minorHAnsi"/>
                <w:color w:val="000000"/>
                <w:lang w:eastAsia="en-GB"/>
              </w:rPr>
            </w:pPr>
            <w:r w:rsidRPr="00A957A6">
              <w:rPr>
                <w:rFonts w:asciiTheme="minorHAnsi" w:eastAsia="Times New Roman" w:hAnsiTheme="minorHAnsi" w:cstheme="minorHAnsi"/>
                <w:color w:val="000000"/>
                <w:lang w:eastAsia="en-GB"/>
              </w:rPr>
              <w:t xml:space="preserve">Years </w:t>
            </w:r>
            <w:r w:rsidR="007824D1">
              <w:rPr>
                <w:rFonts w:asciiTheme="minorHAnsi" w:eastAsia="Times New Roman" w:hAnsiTheme="minorHAnsi" w:cstheme="minorHAnsi"/>
                <w:color w:val="000000"/>
                <w:lang w:eastAsia="en-GB"/>
              </w:rPr>
              <w:t>20</w:t>
            </w:r>
            <w:r w:rsidRPr="00A957A6">
              <w:rPr>
                <w:rFonts w:asciiTheme="minorHAnsi" w:eastAsia="Times New Roman" w:hAnsiTheme="minorHAnsi" w:cstheme="minorHAnsi"/>
                <w:color w:val="000000"/>
                <w:lang w:eastAsia="en-GB"/>
              </w:rPr>
              <w:t>01-03</w:t>
            </w:r>
          </w:p>
        </w:tc>
        <w:tc>
          <w:tcPr>
            <w:tcW w:w="250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A957A6" w:rsidRPr="00A957A6" w:rsidRDefault="00A957A6" w:rsidP="00A957A6">
            <w:pPr>
              <w:spacing w:after="0" w:line="240" w:lineRule="auto"/>
              <w:jc w:val="center"/>
              <w:rPr>
                <w:rFonts w:asciiTheme="minorHAnsi" w:eastAsia="Times New Roman" w:hAnsiTheme="minorHAnsi" w:cstheme="minorHAnsi"/>
                <w:color w:val="000000"/>
                <w:lang w:eastAsia="en-GB"/>
              </w:rPr>
            </w:pPr>
            <w:r w:rsidRPr="00A957A6">
              <w:rPr>
                <w:rFonts w:asciiTheme="minorHAnsi" w:eastAsia="Times New Roman" w:hAnsiTheme="minorHAnsi" w:cstheme="minorHAnsi"/>
                <w:color w:val="000000"/>
                <w:lang w:eastAsia="en-GB"/>
              </w:rPr>
              <w:t xml:space="preserve">Years </w:t>
            </w:r>
            <w:r w:rsidR="007824D1">
              <w:rPr>
                <w:rFonts w:asciiTheme="minorHAnsi" w:eastAsia="Times New Roman" w:hAnsiTheme="minorHAnsi" w:cstheme="minorHAnsi"/>
                <w:color w:val="000000"/>
                <w:lang w:eastAsia="en-GB"/>
              </w:rPr>
              <w:t>20</w:t>
            </w:r>
            <w:r w:rsidRPr="00A957A6">
              <w:rPr>
                <w:rFonts w:asciiTheme="minorHAnsi" w:eastAsia="Times New Roman" w:hAnsiTheme="minorHAnsi" w:cstheme="minorHAnsi"/>
                <w:color w:val="000000"/>
                <w:lang w:eastAsia="en-GB"/>
              </w:rPr>
              <w:t>10-12</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A957A6" w:rsidRPr="00A957A6" w:rsidRDefault="00A957A6" w:rsidP="00A957A6">
            <w:pPr>
              <w:spacing w:after="0" w:line="240" w:lineRule="auto"/>
              <w:rPr>
                <w:rFonts w:asciiTheme="minorHAnsi" w:eastAsia="Times New Roman" w:hAnsiTheme="minorHAnsi" w:cstheme="minorHAnsi"/>
                <w:color w:val="000000"/>
                <w:lang w:eastAsia="en-GB"/>
              </w:rPr>
            </w:pPr>
            <w:r w:rsidRPr="00A957A6">
              <w:rPr>
                <w:rFonts w:asciiTheme="minorHAnsi" w:eastAsia="Times New Roman" w:hAnsiTheme="minorHAnsi" w:cstheme="minorHAnsi"/>
                <w:color w:val="000000"/>
                <w:lang w:eastAsia="en-GB"/>
              </w:rPr>
              <w:t> </w:t>
            </w:r>
          </w:p>
        </w:tc>
      </w:tr>
      <w:tr w:rsidR="00A957A6" w:rsidRPr="00A957A6" w:rsidTr="00A957A6">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A957A6" w:rsidRPr="00A957A6" w:rsidRDefault="00A957A6" w:rsidP="00A957A6">
            <w:pPr>
              <w:spacing w:after="0" w:line="240" w:lineRule="auto"/>
              <w:rPr>
                <w:rFonts w:asciiTheme="minorHAnsi" w:eastAsia="Times New Roman" w:hAnsiTheme="minorHAnsi" w:cstheme="minorHAnsi"/>
                <w:color w:val="000000"/>
                <w:lang w:eastAsia="en-GB"/>
              </w:rPr>
            </w:pPr>
            <w:r w:rsidRPr="00A957A6">
              <w:rPr>
                <w:rFonts w:asciiTheme="minorHAnsi" w:eastAsia="Times New Roman" w:hAnsiTheme="minorHAnsi" w:cstheme="minorHAnsi"/>
                <w:color w:val="000000"/>
                <w:lang w:eastAsia="en-GB"/>
              </w:rPr>
              <w:t> </w:t>
            </w:r>
          </w:p>
        </w:tc>
        <w:tc>
          <w:tcPr>
            <w:tcW w:w="1221" w:type="dxa"/>
            <w:tcBorders>
              <w:top w:val="nil"/>
              <w:left w:val="nil"/>
              <w:bottom w:val="single" w:sz="4" w:space="0" w:color="auto"/>
              <w:right w:val="single" w:sz="4" w:space="0" w:color="auto"/>
            </w:tcBorders>
            <w:shd w:val="clear" w:color="auto" w:fill="auto"/>
            <w:noWrap/>
            <w:vAlign w:val="bottom"/>
            <w:hideMark/>
          </w:tcPr>
          <w:p w:rsidR="00A957A6" w:rsidRPr="00A957A6" w:rsidRDefault="00A957A6" w:rsidP="00A957A6">
            <w:pPr>
              <w:spacing w:after="0" w:line="240" w:lineRule="auto"/>
              <w:rPr>
                <w:rFonts w:asciiTheme="minorHAnsi" w:eastAsia="Times New Roman" w:hAnsiTheme="minorHAnsi" w:cstheme="minorHAnsi"/>
                <w:color w:val="000000"/>
                <w:lang w:eastAsia="en-GB"/>
              </w:rPr>
            </w:pPr>
            <w:r w:rsidRPr="00A957A6">
              <w:rPr>
                <w:rFonts w:asciiTheme="minorHAnsi" w:eastAsia="Times New Roman" w:hAnsiTheme="minorHAnsi" w:cstheme="minorHAnsi"/>
                <w:color w:val="000000"/>
                <w:lang w:eastAsia="en-GB"/>
              </w:rPr>
              <w:t>Gradient</w:t>
            </w:r>
          </w:p>
        </w:tc>
        <w:tc>
          <w:tcPr>
            <w:tcW w:w="630" w:type="dxa"/>
            <w:tcBorders>
              <w:top w:val="nil"/>
              <w:left w:val="nil"/>
              <w:bottom w:val="single" w:sz="4" w:space="0" w:color="auto"/>
              <w:right w:val="single" w:sz="4" w:space="0" w:color="auto"/>
            </w:tcBorders>
            <w:shd w:val="clear" w:color="auto" w:fill="auto"/>
            <w:noWrap/>
            <w:vAlign w:val="bottom"/>
            <w:hideMark/>
          </w:tcPr>
          <w:p w:rsidR="00A957A6" w:rsidRPr="00A957A6" w:rsidRDefault="00A957A6" w:rsidP="00A957A6">
            <w:pPr>
              <w:spacing w:after="0" w:line="240" w:lineRule="auto"/>
              <w:rPr>
                <w:rFonts w:asciiTheme="minorHAnsi" w:eastAsia="Times New Roman" w:hAnsiTheme="minorHAnsi" w:cstheme="minorHAnsi"/>
                <w:color w:val="000000"/>
                <w:lang w:eastAsia="en-GB"/>
              </w:rPr>
            </w:pPr>
            <w:r w:rsidRPr="00A957A6">
              <w:rPr>
                <w:rFonts w:asciiTheme="minorHAnsi" w:eastAsia="Times New Roman" w:hAnsiTheme="minorHAnsi" w:cstheme="minorHAnsi"/>
                <w:color w:val="000000"/>
                <w:lang w:eastAsia="en-GB"/>
              </w:rPr>
              <w:t>LCL</w:t>
            </w:r>
          </w:p>
        </w:tc>
        <w:tc>
          <w:tcPr>
            <w:tcW w:w="630" w:type="dxa"/>
            <w:tcBorders>
              <w:top w:val="nil"/>
              <w:left w:val="nil"/>
              <w:bottom w:val="single" w:sz="4" w:space="0" w:color="auto"/>
              <w:right w:val="single" w:sz="4" w:space="0" w:color="auto"/>
            </w:tcBorders>
            <w:shd w:val="clear" w:color="auto" w:fill="auto"/>
            <w:noWrap/>
            <w:vAlign w:val="bottom"/>
            <w:hideMark/>
          </w:tcPr>
          <w:p w:rsidR="00A957A6" w:rsidRPr="00A957A6" w:rsidRDefault="00A957A6" w:rsidP="00A957A6">
            <w:pPr>
              <w:spacing w:after="0" w:line="240" w:lineRule="auto"/>
              <w:rPr>
                <w:rFonts w:asciiTheme="minorHAnsi" w:eastAsia="Times New Roman" w:hAnsiTheme="minorHAnsi" w:cstheme="minorHAnsi"/>
                <w:color w:val="000000"/>
                <w:lang w:eastAsia="en-GB"/>
              </w:rPr>
            </w:pPr>
            <w:r w:rsidRPr="00A957A6">
              <w:rPr>
                <w:rFonts w:asciiTheme="minorHAnsi" w:eastAsia="Times New Roman" w:hAnsiTheme="minorHAnsi" w:cstheme="minorHAnsi"/>
                <w:color w:val="000000"/>
                <w:lang w:eastAsia="en-GB"/>
              </w:rPr>
              <w:t>UCL</w:t>
            </w:r>
          </w:p>
        </w:tc>
        <w:tc>
          <w:tcPr>
            <w:tcW w:w="1230" w:type="dxa"/>
            <w:tcBorders>
              <w:top w:val="nil"/>
              <w:left w:val="nil"/>
              <w:bottom w:val="single" w:sz="4" w:space="0" w:color="auto"/>
              <w:right w:val="single" w:sz="4" w:space="0" w:color="auto"/>
            </w:tcBorders>
            <w:shd w:val="clear" w:color="auto" w:fill="auto"/>
            <w:noWrap/>
            <w:vAlign w:val="bottom"/>
            <w:hideMark/>
          </w:tcPr>
          <w:p w:rsidR="00A957A6" w:rsidRPr="00A957A6" w:rsidRDefault="00A957A6" w:rsidP="00A957A6">
            <w:pPr>
              <w:spacing w:after="0" w:line="240" w:lineRule="auto"/>
              <w:rPr>
                <w:rFonts w:asciiTheme="minorHAnsi" w:eastAsia="Times New Roman" w:hAnsiTheme="minorHAnsi" w:cstheme="minorHAnsi"/>
                <w:color w:val="000000"/>
                <w:lang w:eastAsia="en-GB"/>
              </w:rPr>
            </w:pPr>
            <w:r w:rsidRPr="00A957A6">
              <w:rPr>
                <w:rFonts w:asciiTheme="minorHAnsi" w:eastAsia="Times New Roman" w:hAnsiTheme="minorHAnsi" w:cstheme="minorHAnsi"/>
                <w:color w:val="000000"/>
                <w:lang w:eastAsia="en-GB"/>
              </w:rPr>
              <w:t>Gradient</w:t>
            </w:r>
          </w:p>
        </w:tc>
        <w:tc>
          <w:tcPr>
            <w:tcW w:w="635" w:type="dxa"/>
            <w:tcBorders>
              <w:top w:val="nil"/>
              <w:left w:val="nil"/>
              <w:bottom w:val="single" w:sz="4" w:space="0" w:color="auto"/>
              <w:right w:val="single" w:sz="4" w:space="0" w:color="auto"/>
            </w:tcBorders>
            <w:shd w:val="clear" w:color="auto" w:fill="auto"/>
            <w:noWrap/>
            <w:vAlign w:val="bottom"/>
            <w:hideMark/>
          </w:tcPr>
          <w:p w:rsidR="00A957A6" w:rsidRPr="00A957A6" w:rsidRDefault="00A957A6" w:rsidP="00A957A6">
            <w:pPr>
              <w:spacing w:after="0" w:line="240" w:lineRule="auto"/>
              <w:rPr>
                <w:rFonts w:asciiTheme="minorHAnsi" w:eastAsia="Times New Roman" w:hAnsiTheme="minorHAnsi" w:cstheme="minorHAnsi"/>
                <w:color w:val="000000"/>
                <w:lang w:eastAsia="en-GB"/>
              </w:rPr>
            </w:pPr>
            <w:r w:rsidRPr="00A957A6">
              <w:rPr>
                <w:rFonts w:asciiTheme="minorHAnsi" w:eastAsia="Times New Roman" w:hAnsiTheme="minorHAnsi" w:cstheme="minorHAnsi"/>
                <w:color w:val="000000"/>
                <w:lang w:eastAsia="en-GB"/>
              </w:rPr>
              <w:t>LCL</w:t>
            </w:r>
          </w:p>
        </w:tc>
        <w:tc>
          <w:tcPr>
            <w:tcW w:w="635" w:type="dxa"/>
            <w:tcBorders>
              <w:top w:val="nil"/>
              <w:left w:val="nil"/>
              <w:bottom w:val="single" w:sz="4" w:space="0" w:color="auto"/>
              <w:right w:val="single" w:sz="4" w:space="0" w:color="auto"/>
            </w:tcBorders>
            <w:shd w:val="clear" w:color="auto" w:fill="auto"/>
            <w:noWrap/>
            <w:vAlign w:val="bottom"/>
            <w:hideMark/>
          </w:tcPr>
          <w:p w:rsidR="00A957A6" w:rsidRPr="00A957A6" w:rsidRDefault="00A957A6" w:rsidP="00A957A6">
            <w:pPr>
              <w:spacing w:after="0" w:line="240" w:lineRule="auto"/>
              <w:rPr>
                <w:rFonts w:asciiTheme="minorHAnsi" w:eastAsia="Times New Roman" w:hAnsiTheme="minorHAnsi" w:cstheme="minorHAnsi"/>
                <w:color w:val="000000"/>
                <w:lang w:eastAsia="en-GB"/>
              </w:rPr>
            </w:pPr>
            <w:r w:rsidRPr="00A957A6">
              <w:rPr>
                <w:rFonts w:asciiTheme="minorHAnsi" w:eastAsia="Times New Roman" w:hAnsiTheme="minorHAnsi" w:cstheme="minorHAnsi"/>
                <w:color w:val="000000"/>
                <w:lang w:eastAsia="en-GB"/>
              </w:rPr>
              <w:t>UCL</w:t>
            </w:r>
          </w:p>
        </w:tc>
        <w:tc>
          <w:tcPr>
            <w:tcW w:w="1320" w:type="dxa"/>
            <w:tcBorders>
              <w:top w:val="nil"/>
              <w:left w:val="nil"/>
              <w:bottom w:val="single" w:sz="4" w:space="0" w:color="auto"/>
              <w:right w:val="single" w:sz="4" w:space="0" w:color="auto"/>
            </w:tcBorders>
            <w:shd w:val="clear" w:color="auto" w:fill="auto"/>
            <w:noWrap/>
            <w:vAlign w:val="bottom"/>
            <w:hideMark/>
          </w:tcPr>
          <w:p w:rsidR="00A957A6" w:rsidRPr="00A957A6" w:rsidRDefault="00A957A6" w:rsidP="00A957A6">
            <w:pPr>
              <w:spacing w:after="0" w:line="240" w:lineRule="auto"/>
              <w:rPr>
                <w:rFonts w:asciiTheme="minorHAnsi" w:eastAsia="Times New Roman" w:hAnsiTheme="minorHAnsi" w:cstheme="minorHAnsi"/>
                <w:color w:val="000000"/>
                <w:lang w:eastAsia="en-GB"/>
              </w:rPr>
            </w:pPr>
            <w:r w:rsidRPr="00A957A6">
              <w:rPr>
                <w:rFonts w:asciiTheme="minorHAnsi" w:eastAsia="Times New Roman" w:hAnsiTheme="minorHAnsi" w:cstheme="minorHAnsi"/>
                <w:color w:val="000000"/>
                <w:lang w:eastAsia="en-GB"/>
              </w:rPr>
              <w:t>Change/Sig</w:t>
            </w:r>
          </w:p>
        </w:tc>
      </w:tr>
      <w:tr w:rsidR="00A957A6" w:rsidRPr="00A957A6" w:rsidTr="00A957A6">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A957A6" w:rsidRPr="00A957A6" w:rsidRDefault="00A957A6" w:rsidP="00A957A6">
            <w:pPr>
              <w:spacing w:after="0" w:line="240" w:lineRule="auto"/>
              <w:rPr>
                <w:rFonts w:asciiTheme="minorHAnsi" w:eastAsia="Times New Roman" w:hAnsiTheme="minorHAnsi" w:cstheme="minorHAnsi"/>
                <w:color w:val="000000"/>
                <w:lang w:eastAsia="en-GB"/>
              </w:rPr>
            </w:pPr>
            <w:r w:rsidRPr="00A957A6">
              <w:rPr>
                <w:rFonts w:asciiTheme="minorHAnsi" w:eastAsia="Times New Roman" w:hAnsiTheme="minorHAnsi" w:cstheme="minorHAnsi"/>
                <w:color w:val="000000"/>
                <w:lang w:eastAsia="en-GB"/>
              </w:rPr>
              <w:t>Males</w:t>
            </w:r>
          </w:p>
        </w:tc>
        <w:tc>
          <w:tcPr>
            <w:tcW w:w="1221" w:type="dxa"/>
            <w:tcBorders>
              <w:top w:val="nil"/>
              <w:left w:val="nil"/>
              <w:bottom w:val="single" w:sz="4" w:space="0" w:color="auto"/>
              <w:right w:val="single" w:sz="4" w:space="0" w:color="auto"/>
            </w:tcBorders>
            <w:shd w:val="clear" w:color="auto" w:fill="auto"/>
            <w:noWrap/>
            <w:vAlign w:val="bottom"/>
            <w:hideMark/>
          </w:tcPr>
          <w:p w:rsidR="00A957A6" w:rsidRPr="00A957A6" w:rsidRDefault="0057185A" w:rsidP="00A957A6">
            <w:pPr>
              <w:spacing w:after="0"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0.74</w:t>
            </w:r>
          </w:p>
        </w:tc>
        <w:tc>
          <w:tcPr>
            <w:tcW w:w="630" w:type="dxa"/>
            <w:tcBorders>
              <w:top w:val="nil"/>
              <w:left w:val="nil"/>
              <w:bottom w:val="single" w:sz="4" w:space="0" w:color="auto"/>
              <w:right w:val="single" w:sz="4" w:space="0" w:color="auto"/>
            </w:tcBorders>
            <w:shd w:val="clear" w:color="auto" w:fill="auto"/>
            <w:noWrap/>
            <w:vAlign w:val="bottom"/>
            <w:hideMark/>
          </w:tcPr>
          <w:p w:rsidR="00A957A6" w:rsidRPr="00A957A6" w:rsidRDefault="0057185A" w:rsidP="00A957A6">
            <w:pPr>
              <w:spacing w:after="0" w:line="240" w:lineRule="auto"/>
              <w:jc w:val="right"/>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0.68</w:t>
            </w:r>
          </w:p>
        </w:tc>
        <w:tc>
          <w:tcPr>
            <w:tcW w:w="630" w:type="dxa"/>
            <w:tcBorders>
              <w:top w:val="nil"/>
              <w:left w:val="nil"/>
              <w:bottom w:val="single" w:sz="4" w:space="0" w:color="auto"/>
              <w:right w:val="single" w:sz="4" w:space="0" w:color="auto"/>
            </w:tcBorders>
            <w:shd w:val="clear" w:color="auto" w:fill="auto"/>
            <w:noWrap/>
            <w:vAlign w:val="bottom"/>
            <w:hideMark/>
          </w:tcPr>
          <w:p w:rsidR="00A957A6" w:rsidRPr="00A957A6" w:rsidRDefault="0057185A" w:rsidP="00A957A6">
            <w:pPr>
              <w:spacing w:after="0" w:line="240" w:lineRule="auto"/>
              <w:jc w:val="right"/>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0.81</w:t>
            </w:r>
          </w:p>
        </w:tc>
        <w:tc>
          <w:tcPr>
            <w:tcW w:w="1230" w:type="dxa"/>
            <w:tcBorders>
              <w:top w:val="nil"/>
              <w:left w:val="nil"/>
              <w:bottom w:val="single" w:sz="4" w:space="0" w:color="auto"/>
              <w:right w:val="single" w:sz="4" w:space="0" w:color="auto"/>
            </w:tcBorders>
            <w:shd w:val="clear" w:color="auto" w:fill="auto"/>
            <w:noWrap/>
            <w:vAlign w:val="bottom"/>
            <w:hideMark/>
          </w:tcPr>
          <w:p w:rsidR="00A957A6" w:rsidRPr="00A957A6" w:rsidRDefault="0057185A" w:rsidP="00A957A6">
            <w:pPr>
              <w:spacing w:after="0"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0.76</w:t>
            </w:r>
          </w:p>
        </w:tc>
        <w:tc>
          <w:tcPr>
            <w:tcW w:w="635" w:type="dxa"/>
            <w:tcBorders>
              <w:top w:val="nil"/>
              <w:left w:val="nil"/>
              <w:bottom w:val="single" w:sz="4" w:space="0" w:color="auto"/>
              <w:right w:val="single" w:sz="4" w:space="0" w:color="auto"/>
            </w:tcBorders>
            <w:shd w:val="clear" w:color="auto" w:fill="auto"/>
            <w:noWrap/>
            <w:vAlign w:val="bottom"/>
            <w:hideMark/>
          </w:tcPr>
          <w:p w:rsidR="00A957A6" w:rsidRPr="00A957A6" w:rsidRDefault="0057185A" w:rsidP="00A957A6">
            <w:pPr>
              <w:spacing w:after="0" w:line="240" w:lineRule="auto"/>
              <w:jc w:val="right"/>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0.70</w:t>
            </w:r>
          </w:p>
        </w:tc>
        <w:tc>
          <w:tcPr>
            <w:tcW w:w="635" w:type="dxa"/>
            <w:tcBorders>
              <w:top w:val="nil"/>
              <w:left w:val="nil"/>
              <w:bottom w:val="single" w:sz="4" w:space="0" w:color="auto"/>
              <w:right w:val="single" w:sz="4" w:space="0" w:color="auto"/>
            </w:tcBorders>
            <w:shd w:val="clear" w:color="auto" w:fill="auto"/>
            <w:noWrap/>
            <w:vAlign w:val="bottom"/>
            <w:hideMark/>
          </w:tcPr>
          <w:p w:rsidR="00A957A6" w:rsidRPr="00A957A6" w:rsidRDefault="0057185A" w:rsidP="00A957A6">
            <w:pPr>
              <w:spacing w:after="0" w:line="240" w:lineRule="auto"/>
              <w:jc w:val="right"/>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0.82</w:t>
            </w:r>
          </w:p>
        </w:tc>
        <w:tc>
          <w:tcPr>
            <w:tcW w:w="1320" w:type="dxa"/>
            <w:tcBorders>
              <w:top w:val="nil"/>
              <w:left w:val="nil"/>
              <w:bottom w:val="single" w:sz="4" w:space="0" w:color="auto"/>
              <w:right w:val="single" w:sz="4" w:space="0" w:color="auto"/>
            </w:tcBorders>
            <w:shd w:val="clear" w:color="auto" w:fill="auto"/>
            <w:noWrap/>
            <w:vAlign w:val="bottom"/>
            <w:hideMark/>
          </w:tcPr>
          <w:p w:rsidR="00A957A6" w:rsidRPr="00A957A6" w:rsidRDefault="0057185A" w:rsidP="00A957A6">
            <w:pPr>
              <w:spacing w:after="0"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0.0</w:t>
            </w:r>
            <w:r w:rsidR="00A957A6" w:rsidRPr="00A957A6">
              <w:rPr>
                <w:rFonts w:asciiTheme="minorHAnsi" w:eastAsia="Times New Roman" w:hAnsiTheme="minorHAnsi" w:cstheme="minorHAnsi"/>
                <w:color w:val="000000"/>
                <w:lang w:eastAsia="en-GB"/>
              </w:rPr>
              <w:t>2</w:t>
            </w:r>
          </w:p>
        </w:tc>
      </w:tr>
      <w:tr w:rsidR="00A957A6" w:rsidRPr="00A957A6" w:rsidTr="00A957A6">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A957A6" w:rsidRPr="00A957A6" w:rsidRDefault="00A957A6" w:rsidP="00A957A6">
            <w:pPr>
              <w:spacing w:after="0" w:line="240" w:lineRule="auto"/>
              <w:rPr>
                <w:rFonts w:asciiTheme="minorHAnsi" w:eastAsia="Times New Roman" w:hAnsiTheme="minorHAnsi" w:cstheme="minorHAnsi"/>
                <w:color w:val="000000"/>
                <w:lang w:eastAsia="en-GB"/>
              </w:rPr>
            </w:pPr>
            <w:r w:rsidRPr="00A957A6">
              <w:rPr>
                <w:rFonts w:asciiTheme="minorHAnsi" w:eastAsia="Times New Roman" w:hAnsiTheme="minorHAnsi" w:cstheme="minorHAnsi"/>
                <w:color w:val="000000"/>
                <w:lang w:eastAsia="en-GB"/>
              </w:rPr>
              <w:t>Female</w:t>
            </w:r>
          </w:p>
        </w:tc>
        <w:tc>
          <w:tcPr>
            <w:tcW w:w="1221" w:type="dxa"/>
            <w:tcBorders>
              <w:top w:val="nil"/>
              <w:left w:val="nil"/>
              <w:bottom w:val="single" w:sz="4" w:space="0" w:color="auto"/>
              <w:right w:val="single" w:sz="4" w:space="0" w:color="auto"/>
            </w:tcBorders>
            <w:shd w:val="clear" w:color="auto" w:fill="auto"/>
            <w:noWrap/>
            <w:vAlign w:val="bottom"/>
            <w:hideMark/>
          </w:tcPr>
          <w:p w:rsidR="00A957A6" w:rsidRPr="00A957A6" w:rsidRDefault="0057185A" w:rsidP="00A957A6">
            <w:pPr>
              <w:spacing w:after="0"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0.45</w:t>
            </w:r>
          </w:p>
        </w:tc>
        <w:tc>
          <w:tcPr>
            <w:tcW w:w="630" w:type="dxa"/>
            <w:tcBorders>
              <w:top w:val="nil"/>
              <w:left w:val="nil"/>
              <w:bottom w:val="single" w:sz="4" w:space="0" w:color="auto"/>
              <w:right w:val="single" w:sz="4" w:space="0" w:color="auto"/>
            </w:tcBorders>
            <w:shd w:val="clear" w:color="auto" w:fill="auto"/>
            <w:noWrap/>
            <w:vAlign w:val="bottom"/>
            <w:hideMark/>
          </w:tcPr>
          <w:p w:rsidR="00A957A6" w:rsidRPr="00A957A6" w:rsidRDefault="0057185A" w:rsidP="00A957A6">
            <w:pPr>
              <w:spacing w:after="0" w:line="240" w:lineRule="auto"/>
              <w:jc w:val="right"/>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0.39</w:t>
            </w:r>
          </w:p>
        </w:tc>
        <w:tc>
          <w:tcPr>
            <w:tcW w:w="630" w:type="dxa"/>
            <w:tcBorders>
              <w:top w:val="nil"/>
              <w:left w:val="nil"/>
              <w:bottom w:val="single" w:sz="4" w:space="0" w:color="auto"/>
              <w:right w:val="single" w:sz="4" w:space="0" w:color="auto"/>
            </w:tcBorders>
            <w:shd w:val="clear" w:color="auto" w:fill="auto"/>
            <w:noWrap/>
            <w:vAlign w:val="bottom"/>
            <w:hideMark/>
          </w:tcPr>
          <w:p w:rsidR="00A957A6" w:rsidRPr="00A957A6" w:rsidRDefault="0057185A" w:rsidP="00A957A6">
            <w:pPr>
              <w:spacing w:after="0" w:line="240" w:lineRule="auto"/>
              <w:jc w:val="right"/>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0.50</w:t>
            </w:r>
          </w:p>
        </w:tc>
        <w:tc>
          <w:tcPr>
            <w:tcW w:w="1230" w:type="dxa"/>
            <w:tcBorders>
              <w:top w:val="nil"/>
              <w:left w:val="nil"/>
              <w:bottom w:val="single" w:sz="4" w:space="0" w:color="auto"/>
              <w:right w:val="single" w:sz="4" w:space="0" w:color="auto"/>
            </w:tcBorders>
            <w:shd w:val="clear" w:color="000000" w:fill="FFFFFF"/>
            <w:noWrap/>
            <w:vAlign w:val="bottom"/>
            <w:hideMark/>
          </w:tcPr>
          <w:p w:rsidR="00A957A6" w:rsidRPr="00A957A6" w:rsidRDefault="0057185A" w:rsidP="00A957A6">
            <w:pPr>
              <w:spacing w:after="0"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0.62</w:t>
            </w:r>
          </w:p>
        </w:tc>
        <w:tc>
          <w:tcPr>
            <w:tcW w:w="635" w:type="dxa"/>
            <w:tcBorders>
              <w:top w:val="nil"/>
              <w:left w:val="nil"/>
              <w:bottom w:val="single" w:sz="4" w:space="0" w:color="auto"/>
              <w:right w:val="single" w:sz="4" w:space="0" w:color="auto"/>
            </w:tcBorders>
            <w:shd w:val="clear" w:color="auto" w:fill="auto"/>
            <w:noWrap/>
            <w:vAlign w:val="bottom"/>
            <w:hideMark/>
          </w:tcPr>
          <w:p w:rsidR="00A957A6" w:rsidRPr="00A957A6" w:rsidRDefault="0057185A" w:rsidP="00A957A6">
            <w:pPr>
              <w:spacing w:after="0" w:line="240" w:lineRule="auto"/>
              <w:jc w:val="right"/>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0.57</w:t>
            </w:r>
          </w:p>
        </w:tc>
        <w:tc>
          <w:tcPr>
            <w:tcW w:w="635" w:type="dxa"/>
            <w:tcBorders>
              <w:top w:val="nil"/>
              <w:left w:val="nil"/>
              <w:bottom w:val="single" w:sz="4" w:space="0" w:color="auto"/>
              <w:right w:val="single" w:sz="4" w:space="0" w:color="auto"/>
            </w:tcBorders>
            <w:shd w:val="clear" w:color="auto" w:fill="auto"/>
            <w:noWrap/>
            <w:vAlign w:val="bottom"/>
            <w:hideMark/>
          </w:tcPr>
          <w:p w:rsidR="00A957A6" w:rsidRPr="00A957A6" w:rsidRDefault="0057185A" w:rsidP="00A957A6">
            <w:pPr>
              <w:spacing w:after="0" w:line="240" w:lineRule="auto"/>
              <w:jc w:val="right"/>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0.68</w:t>
            </w:r>
          </w:p>
        </w:tc>
        <w:tc>
          <w:tcPr>
            <w:tcW w:w="1320" w:type="dxa"/>
            <w:tcBorders>
              <w:top w:val="nil"/>
              <w:left w:val="nil"/>
              <w:bottom w:val="single" w:sz="4" w:space="0" w:color="auto"/>
              <w:right w:val="single" w:sz="4" w:space="0" w:color="auto"/>
            </w:tcBorders>
            <w:shd w:val="clear" w:color="000000" w:fill="E6B8B7"/>
            <w:noWrap/>
            <w:vAlign w:val="bottom"/>
            <w:hideMark/>
          </w:tcPr>
          <w:p w:rsidR="00A957A6" w:rsidRPr="00A957A6" w:rsidRDefault="0057185A" w:rsidP="00A957A6">
            <w:pPr>
              <w:spacing w:after="0"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0.1</w:t>
            </w:r>
            <w:r w:rsidR="00A957A6" w:rsidRPr="00A957A6">
              <w:rPr>
                <w:rFonts w:asciiTheme="minorHAnsi" w:eastAsia="Times New Roman" w:hAnsiTheme="minorHAnsi" w:cstheme="minorHAnsi"/>
                <w:color w:val="000000"/>
                <w:lang w:eastAsia="en-GB"/>
              </w:rPr>
              <w:t>7</w:t>
            </w:r>
          </w:p>
        </w:tc>
      </w:tr>
      <w:tr w:rsidR="00A957A6" w:rsidRPr="00A957A6" w:rsidTr="00A957A6">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A957A6" w:rsidRPr="00A957A6" w:rsidRDefault="00A957A6" w:rsidP="00A957A6">
            <w:pPr>
              <w:spacing w:after="0" w:line="240" w:lineRule="auto"/>
              <w:rPr>
                <w:rFonts w:asciiTheme="minorHAnsi" w:eastAsia="Times New Roman" w:hAnsiTheme="minorHAnsi" w:cstheme="minorHAnsi"/>
                <w:color w:val="000000"/>
                <w:lang w:eastAsia="en-GB"/>
              </w:rPr>
            </w:pPr>
            <w:r w:rsidRPr="00A957A6">
              <w:rPr>
                <w:rFonts w:asciiTheme="minorHAnsi" w:eastAsia="Times New Roman" w:hAnsiTheme="minorHAnsi" w:cstheme="minorHAnsi"/>
                <w:color w:val="000000"/>
                <w:lang w:eastAsia="en-GB"/>
              </w:rPr>
              <w:t>All Persons</w:t>
            </w:r>
          </w:p>
        </w:tc>
        <w:tc>
          <w:tcPr>
            <w:tcW w:w="1221" w:type="dxa"/>
            <w:tcBorders>
              <w:top w:val="nil"/>
              <w:left w:val="nil"/>
              <w:bottom w:val="single" w:sz="4" w:space="0" w:color="auto"/>
              <w:right w:val="single" w:sz="4" w:space="0" w:color="auto"/>
            </w:tcBorders>
            <w:shd w:val="clear" w:color="auto" w:fill="auto"/>
            <w:noWrap/>
            <w:vAlign w:val="bottom"/>
            <w:hideMark/>
          </w:tcPr>
          <w:p w:rsidR="00A957A6" w:rsidRPr="00A957A6" w:rsidRDefault="0057185A" w:rsidP="00A957A6">
            <w:pPr>
              <w:spacing w:after="0"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0.59</w:t>
            </w:r>
          </w:p>
        </w:tc>
        <w:tc>
          <w:tcPr>
            <w:tcW w:w="630" w:type="dxa"/>
            <w:tcBorders>
              <w:top w:val="nil"/>
              <w:left w:val="nil"/>
              <w:bottom w:val="single" w:sz="4" w:space="0" w:color="auto"/>
              <w:right w:val="single" w:sz="4" w:space="0" w:color="auto"/>
            </w:tcBorders>
            <w:shd w:val="clear" w:color="auto" w:fill="auto"/>
            <w:noWrap/>
            <w:vAlign w:val="bottom"/>
            <w:hideMark/>
          </w:tcPr>
          <w:p w:rsidR="00A957A6" w:rsidRPr="00A957A6" w:rsidRDefault="0057185A" w:rsidP="00A957A6">
            <w:pPr>
              <w:spacing w:after="0" w:line="240" w:lineRule="auto"/>
              <w:jc w:val="right"/>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0.55</w:t>
            </w:r>
          </w:p>
        </w:tc>
        <w:tc>
          <w:tcPr>
            <w:tcW w:w="630" w:type="dxa"/>
            <w:tcBorders>
              <w:top w:val="nil"/>
              <w:left w:val="nil"/>
              <w:bottom w:val="single" w:sz="4" w:space="0" w:color="auto"/>
              <w:right w:val="single" w:sz="4" w:space="0" w:color="auto"/>
            </w:tcBorders>
            <w:shd w:val="clear" w:color="auto" w:fill="auto"/>
            <w:noWrap/>
            <w:vAlign w:val="bottom"/>
            <w:hideMark/>
          </w:tcPr>
          <w:p w:rsidR="00A957A6" w:rsidRPr="00A957A6" w:rsidRDefault="0057185A" w:rsidP="00A957A6">
            <w:pPr>
              <w:spacing w:after="0" w:line="240" w:lineRule="auto"/>
              <w:jc w:val="right"/>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0.63</w:t>
            </w:r>
          </w:p>
        </w:tc>
        <w:tc>
          <w:tcPr>
            <w:tcW w:w="1230" w:type="dxa"/>
            <w:tcBorders>
              <w:top w:val="nil"/>
              <w:left w:val="nil"/>
              <w:bottom w:val="single" w:sz="4" w:space="0" w:color="auto"/>
              <w:right w:val="single" w:sz="4" w:space="0" w:color="auto"/>
            </w:tcBorders>
            <w:shd w:val="clear" w:color="000000" w:fill="FFFFFF"/>
            <w:noWrap/>
            <w:vAlign w:val="bottom"/>
            <w:hideMark/>
          </w:tcPr>
          <w:p w:rsidR="00A957A6" w:rsidRPr="00A957A6" w:rsidRDefault="0057185A" w:rsidP="00A957A6">
            <w:pPr>
              <w:spacing w:after="0"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0.69</w:t>
            </w:r>
          </w:p>
        </w:tc>
        <w:tc>
          <w:tcPr>
            <w:tcW w:w="635" w:type="dxa"/>
            <w:tcBorders>
              <w:top w:val="nil"/>
              <w:left w:val="nil"/>
              <w:bottom w:val="single" w:sz="4" w:space="0" w:color="auto"/>
              <w:right w:val="single" w:sz="4" w:space="0" w:color="auto"/>
            </w:tcBorders>
            <w:shd w:val="clear" w:color="auto" w:fill="auto"/>
            <w:noWrap/>
            <w:vAlign w:val="bottom"/>
            <w:hideMark/>
          </w:tcPr>
          <w:p w:rsidR="00A957A6" w:rsidRPr="00A957A6" w:rsidRDefault="0057185A" w:rsidP="00A957A6">
            <w:pPr>
              <w:spacing w:after="0" w:line="240" w:lineRule="auto"/>
              <w:jc w:val="right"/>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0.65</w:t>
            </w:r>
          </w:p>
        </w:tc>
        <w:tc>
          <w:tcPr>
            <w:tcW w:w="635" w:type="dxa"/>
            <w:tcBorders>
              <w:top w:val="nil"/>
              <w:left w:val="nil"/>
              <w:bottom w:val="single" w:sz="4" w:space="0" w:color="auto"/>
              <w:right w:val="single" w:sz="4" w:space="0" w:color="auto"/>
            </w:tcBorders>
            <w:shd w:val="clear" w:color="auto" w:fill="auto"/>
            <w:noWrap/>
            <w:vAlign w:val="bottom"/>
            <w:hideMark/>
          </w:tcPr>
          <w:p w:rsidR="00A957A6" w:rsidRPr="00A957A6" w:rsidRDefault="0057185A" w:rsidP="00A957A6">
            <w:pPr>
              <w:spacing w:after="0" w:line="240" w:lineRule="auto"/>
              <w:jc w:val="right"/>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0.73</w:t>
            </w:r>
          </w:p>
        </w:tc>
        <w:tc>
          <w:tcPr>
            <w:tcW w:w="1320" w:type="dxa"/>
            <w:tcBorders>
              <w:top w:val="nil"/>
              <w:left w:val="nil"/>
              <w:bottom w:val="single" w:sz="4" w:space="0" w:color="auto"/>
              <w:right w:val="single" w:sz="4" w:space="0" w:color="auto"/>
            </w:tcBorders>
            <w:shd w:val="clear" w:color="000000" w:fill="E6B8B7"/>
            <w:noWrap/>
            <w:vAlign w:val="bottom"/>
            <w:hideMark/>
          </w:tcPr>
          <w:p w:rsidR="00A957A6" w:rsidRPr="00A957A6" w:rsidRDefault="0057185A" w:rsidP="00A957A6">
            <w:pPr>
              <w:spacing w:after="0"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0.10</w:t>
            </w:r>
          </w:p>
        </w:tc>
      </w:tr>
    </w:tbl>
    <w:p w:rsidR="00ED41AB" w:rsidRPr="00757B21" w:rsidRDefault="007824D1">
      <w:pPr>
        <w:rPr>
          <w:rFonts w:asciiTheme="minorHAnsi" w:hAnsiTheme="minorHAnsi" w:cstheme="minorHAnsi"/>
          <w:b/>
          <w:sz w:val="18"/>
        </w:rPr>
      </w:pPr>
      <w:r>
        <w:rPr>
          <w:rFonts w:asciiTheme="minorHAnsi" w:hAnsiTheme="minorHAnsi" w:cstheme="minorHAnsi"/>
          <w:b/>
          <w:sz w:val="18"/>
        </w:rPr>
        <w:t>Table 3</w:t>
      </w:r>
      <w:r w:rsidR="00A957A6" w:rsidRPr="00757B21">
        <w:rPr>
          <w:rFonts w:asciiTheme="minorHAnsi" w:hAnsiTheme="minorHAnsi" w:cstheme="minorHAnsi"/>
          <w:b/>
          <w:sz w:val="18"/>
        </w:rPr>
        <w:t xml:space="preserve"> – Change in LE gradient by deprivation </w:t>
      </w:r>
      <w:proofErr w:type="spellStart"/>
      <w:r w:rsidR="00A957A6" w:rsidRPr="00757B21">
        <w:rPr>
          <w:rFonts w:asciiTheme="minorHAnsi" w:hAnsiTheme="minorHAnsi" w:cstheme="minorHAnsi"/>
          <w:b/>
          <w:sz w:val="18"/>
        </w:rPr>
        <w:t>decile</w:t>
      </w:r>
      <w:proofErr w:type="spellEnd"/>
      <w:r w:rsidR="00A957A6" w:rsidRPr="00757B21">
        <w:rPr>
          <w:rFonts w:asciiTheme="minorHAnsi" w:hAnsiTheme="minorHAnsi" w:cstheme="minorHAnsi"/>
          <w:b/>
          <w:sz w:val="18"/>
        </w:rPr>
        <w:t xml:space="preserve"> between </w:t>
      </w:r>
      <w:r>
        <w:rPr>
          <w:rFonts w:asciiTheme="minorHAnsi" w:hAnsiTheme="minorHAnsi" w:cstheme="minorHAnsi"/>
          <w:b/>
          <w:sz w:val="18"/>
        </w:rPr>
        <w:t>20</w:t>
      </w:r>
      <w:r w:rsidR="00A957A6" w:rsidRPr="00757B21">
        <w:rPr>
          <w:rFonts w:asciiTheme="minorHAnsi" w:hAnsiTheme="minorHAnsi" w:cstheme="minorHAnsi"/>
          <w:b/>
          <w:sz w:val="18"/>
        </w:rPr>
        <w:t xml:space="preserve">01-03 and </w:t>
      </w:r>
      <w:r>
        <w:rPr>
          <w:rFonts w:asciiTheme="minorHAnsi" w:hAnsiTheme="minorHAnsi" w:cstheme="minorHAnsi"/>
          <w:b/>
          <w:sz w:val="18"/>
        </w:rPr>
        <w:t>20</w:t>
      </w:r>
      <w:r w:rsidR="00A957A6" w:rsidRPr="00757B21">
        <w:rPr>
          <w:rFonts w:asciiTheme="minorHAnsi" w:hAnsiTheme="minorHAnsi" w:cstheme="minorHAnsi"/>
          <w:b/>
          <w:sz w:val="18"/>
        </w:rPr>
        <w:t>10-12</w:t>
      </w:r>
    </w:p>
    <w:p w:rsidR="007824D1" w:rsidRDefault="007824D1">
      <w:pPr>
        <w:rPr>
          <w:rFonts w:asciiTheme="minorHAnsi" w:hAnsiTheme="minorHAnsi" w:cstheme="minorHAnsi"/>
          <w:b/>
        </w:rPr>
      </w:pPr>
    </w:p>
    <w:p w:rsidR="003F4E04" w:rsidRDefault="003F4E04">
      <w:pPr>
        <w:rPr>
          <w:rFonts w:asciiTheme="minorHAnsi" w:hAnsiTheme="minorHAnsi" w:cstheme="minorHAnsi"/>
          <w:b/>
        </w:rPr>
      </w:pPr>
    </w:p>
    <w:p w:rsidR="003F4E04" w:rsidRDefault="003F4E04">
      <w:pPr>
        <w:rPr>
          <w:rFonts w:asciiTheme="minorHAnsi" w:hAnsiTheme="minorHAnsi" w:cstheme="minorHAnsi"/>
          <w:b/>
        </w:rPr>
      </w:pPr>
    </w:p>
    <w:p w:rsidR="003F4E04" w:rsidRDefault="003F4E04">
      <w:pPr>
        <w:rPr>
          <w:rFonts w:asciiTheme="minorHAnsi" w:hAnsiTheme="minorHAnsi" w:cstheme="minorHAnsi"/>
          <w:b/>
        </w:rPr>
      </w:pPr>
    </w:p>
    <w:p w:rsidR="00B43FCF" w:rsidRPr="00757B21" w:rsidRDefault="00B43FCF">
      <w:pPr>
        <w:rPr>
          <w:rFonts w:asciiTheme="minorHAnsi" w:hAnsiTheme="minorHAnsi" w:cstheme="minorHAnsi"/>
          <w:b/>
        </w:rPr>
      </w:pPr>
      <w:r w:rsidRPr="00757B21">
        <w:rPr>
          <w:rFonts w:asciiTheme="minorHAnsi" w:hAnsiTheme="minorHAnsi" w:cstheme="minorHAnsi"/>
          <w:b/>
        </w:rPr>
        <w:lastRenderedPageBreak/>
        <w:t>Life Expectancy at Ward Level</w:t>
      </w:r>
    </w:p>
    <w:p w:rsidR="00B43FCF" w:rsidRPr="00757B21" w:rsidRDefault="00B43FCF">
      <w:pPr>
        <w:rPr>
          <w:rFonts w:asciiTheme="minorHAnsi" w:hAnsiTheme="minorHAnsi" w:cstheme="minorHAnsi"/>
        </w:rPr>
      </w:pPr>
      <w:r w:rsidRPr="00757B21">
        <w:rPr>
          <w:rFonts w:asciiTheme="minorHAnsi" w:hAnsiTheme="minorHAnsi" w:cstheme="minorHAnsi"/>
        </w:rPr>
        <w:t>West Sussex has previously been highlighted as the county with the greatest ward level inequalities in life expectancy in the South East region</w:t>
      </w:r>
      <w:r w:rsidRPr="00757B21">
        <w:rPr>
          <w:rStyle w:val="FootnoteReference"/>
          <w:rFonts w:asciiTheme="minorHAnsi" w:hAnsiTheme="minorHAnsi" w:cstheme="minorHAnsi"/>
        </w:rPr>
        <w:footnoteReference w:id="8"/>
      </w:r>
      <w:r w:rsidRPr="00757B21">
        <w:rPr>
          <w:rFonts w:asciiTheme="minorHAnsi" w:hAnsiTheme="minorHAnsi" w:cstheme="minorHAnsi"/>
        </w:rPr>
        <w:t xml:space="preserve">. One of the aims of this report has been to examine how </w:t>
      </w:r>
      <w:r w:rsidR="009948F7" w:rsidRPr="00757B21">
        <w:rPr>
          <w:rFonts w:asciiTheme="minorHAnsi" w:hAnsiTheme="minorHAnsi" w:cstheme="minorHAnsi"/>
        </w:rPr>
        <w:t>West Sussex’s life expectancy gap</w:t>
      </w:r>
      <w:r w:rsidRPr="00757B21">
        <w:rPr>
          <w:rFonts w:asciiTheme="minorHAnsi" w:hAnsiTheme="minorHAnsi" w:cstheme="minorHAnsi"/>
        </w:rPr>
        <w:t xml:space="preserve"> might have changed over the last 10 years. </w:t>
      </w:r>
    </w:p>
    <w:p w:rsidR="00224899" w:rsidRPr="00757B21" w:rsidRDefault="00224899">
      <w:pPr>
        <w:rPr>
          <w:rFonts w:asciiTheme="minorHAnsi" w:hAnsiTheme="minorHAnsi" w:cstheme="minorHAnsi"/>
        </w:rPr>
      </w:pPr>
      <w:r w:rsidRPr="00757B21">
        <w:rPr>
          <w:rFonts w:asciiTheme="minorHAnsi" w:hAnsiTheme="minorHAnsi" w:cstheme="minorHAnsi"/>
        </w:rPr>
        <w:t xml:space="preserve">Life expectancy data at ward level is difficult to estimate with any certainty; because of this, data have been aggregated into the six year periods 2001-2006 and 2007-2012. </w:t>
      </w:r>
    </w:p>
    <w:p w:rsidR="00224899" w:rsidRPr="00757B21" w:rsidRDefault="00595F26">
      <w:pPr>
        <w:rPr>
          <w:rFonts w:asciiTheme="minorHAnsi" w:hAnsiTheme="minorHAnsi" w:cstheme="minorHAnsi"/>
        </w:rPr>
      </w:pPr>
      <w:r w:rsidRPr="00757B21">
        <w:rPr>
          <w:rFonts w:asciiTheme="minorHAnsi" w:hAnsiTheme="minorHAnsi" w:cstheme="minorHAnsi"/>
        </w:rPr>
        <w:t>The life expectancy data for 2007-2012 are shown in ranges in Map 1 (detailed data in the Appendix). The spread of data exhibits a similar pattern to that calculated previously by the PHRU</w:t>
      </w:r>
      <w:r w:rsidRPr="00757B21">
        <w:rPr>
          <w:rStyle w:val="FootnoteReference"/>
          <w:rFonts w:asciiTheme="minorHAnsi" w:hAnsiTheme="minorHAnsi" w:cstheme="minorHAnsi"/>
        </w:rPr>
        <w:footnoteReference w:id="9"/>
      </w:r>
      <w:r w:rsidRPr="00757B21">
        <w:rPr>
          <w:rFonts w:asciiTheme="minorHAnsi" w:hAnsiTheme="minorHAnsi" w:cstheme="minorHAnsi"/>
        </w:rPr>
        <w:t>, with low LE in many of the wards a</w:t>
      </w:r>
      <w:r w:rsidR="002B638D">
        <w:rPr>
          <w:rFonts w:asciiTheme="minorHAnsi" w:hAnsiTheme="minorHAnsi" w:cstheme="minorHAnsi"/>
        </w:rPr>
        <w:t>long the coast and in the West</w:t>
      </w:r>
      <w:r w:rsidRPr="00757B21">
        <w:rPr>
          <w:rFonts w:asciiTheme="minorHAnsi" w:hAnsiTheme="minorHAnsi" w:cstheme="minorHAnsi"/>
        </w:rPr>
        <w:t xml:space="preserve"> of Crawley and high LE in many of the wards in the rural centre of the county.</w:t>
      </w:r>
    </w:p>
    <w:p w:rsidR="00595F26" w:rsidRPr="00757B21" w:rsidRDefault="00533DDF">
      <w:pPr>
        <w:rPr>
          <w:rFonts w:asciiTheme="minorHAnsi" w:hAnsiTheme="minorHAnsi" w:cstheme="minorHAnsi"/>
        </w:rPr>
      </w:pPr>
      <w:r>
        <w:rPr>
          <w:rFonts w:asciiTheme="minorHAnsi" w:hAnsiTheme="minorHAnsi" w:cstheme="minorHAnsi"/>
          <w:noProof/>
          <w:lang w:eastAsia="en-GB"/>
        </w:rPr>
        <w:drawing>
          <wp:inline distT="0" distB="0" distL="0" distR="0">
            <wp:extent cx="5731510" cy="40913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91305"/>
                    </a:xfrm>
                    <a:prstGeom prst="rect">
                      <a:avLst/>
                    </a:prstGeom>
                    <a:noFill/>
                    <a:ln>
                      <a:noFill/>
                    </a:ln>
                  </pic:spPr>
                </pic:pic>
              </a:graphicData>
            </a:graphic>
          </wp:inline>
        </w:drawing>
      </w:r>
    </w:p>
    <w:p w:rsidR="00595F26" w:rsidRPr="00757B21" w:rsidRDefault="00595F26">
      <w:pPr>
        <w:rPr>
          <w:rFonts w:asciiTheme="minorHAnsi" w:hAnsiTheme="minorHAnsi" w:cstheme="minorHAnsi"/>
          <w:b/>
          <w:sz w:val="18"/>
        </w:rPr>
      </w:pPr>
      <w:r w:rsidRPr="00757B21">
        <w:rPr>
          <w:rFonts w:asciiTheme="minorHAnsi" w:hAnsiTheme="minorHAnsi" w:cstheme="minorHAnsi"/>
          <w:b/>
          <w:sz w:val="18"/>
        </w:rPr>
        <w:t>Map 1 –</w:t>
      </w:r>
      <w:r w:rsidR="004C4F81" w:rsidRPr="00757B21">
        <w:rPr>
          <w:rFonts w:asciiTheme="minorHAnsi" w:hAnsiTheme="minorHAnsi" w:cstheme="minorHAnsi"/>
          <w:b/>
          <w:sz w:val="18"/>
        </w:rPr>
        <w:t xml:space="preserve"> LE by </w:t>
      </w:r>
      <w:r w:rsidR="007824D1">
        <w:rPr>
          <w:rFonts w:asciiTheme="minorHAnsi" w:hAnsiTheme="minorHAnsi" w:cstheme="minorHAnsi"/>
          <w:b/>
          <w:sz w:val="18"/>
        </w:rPr>
        <w:t xml:space="preserve">West Sussex </w:t>
      </w:r>
      <w:r w:rsidR="004C4F81" w:rsidRPr="00757B21">
        <w:rPr>
          <w:rFonts w:asciiTheme="minorHAnsi" w:hAnsiTheme="minorHAnsi" w:cstheme="minorHAnsi"/>
          <w:b/>
          <w:sz w:val="18"/>
        </w:rPr>
        <w:t>Ward (2007-2012</w:t>
      </w:r>
      <w:r w:rsidRPr="00757B21">
        <w:rPr>
          <w:rFonts w:asciiTheme="minorHAnsi" w:hAnsiTheme="minorHAnsi" w:cstheme="minorHAnsi"/>
          <w:b/>
          <w:sz w:val="18"/>
        </w:rPr>
        <w:t>)</w:t>
      </w:r>
    </w:p>
    <w:p w:rsidR="00BF69CC" w:rsidRPr="00757B21" w:rsidRDefault="00BF69CC">
      <w:pPr>
        <w:rPr>
          <w:rFonts w:asciiTheme="minorHAnsi" w:hAnsiTheme="minorHAnsi" w:cstheme="minorHAnsi"/>
        </w:rPr>
      </w:pPr>
    </w:p>
    <w:p w:rsidR="00595F26" w:rsidRDefault="00BF69CC">
      <w:pPr>
        <w:rPr>
          <w:rFonts w:asciiTheme="minorHAnsi" w:hAnsiTheme="minorHAnsi" w:cstheme="minorHAnsi"/>
        </w:rPr>
      </w:pPr>
      <w:r w:rsidRPr="00757B21">
        <w:rPr>
          <w:rFonts w:asciiTheme="minorHAnsi" w:hAnsiTheme="minorHAnsi" w:cstheme="minorHAnsi"/>
        </w:rPr>
        <w:t>The five wards with the lowe</w:t>
      </w:r>
      <w:r w:rsidR="00377898">
        <w:rPr>
          <w:rFonts w:asciiTheme="minorHAnsi" w:hAnsiTheme="minorHAnsi" w:cstheme="minorHAnsi"/>
        </w:rPr>
        <w:t>st life expectancies were River and</w:t>
      </w:r>
      <w:r w:rsidRPr="00757B21">
        <w:rPr>
          <w:rFonts w:asciiTheme="minorHAnsi" w:hAnsiTheme="minorHAnsi" w:cstheme="minorHAnsi"/>
        </w:rPr>
        <w:t xml:space="preserve"> Marine in </w:t>
      </w:r>
      <w:proofErr w:type="spellStart"/>
      <w:r w:rsidRPr="00757B21">
        <w:rPr>
          <w:rFonts w:asciiTheme="minorHAnsi" w:hAnsiTheme="minorHAnsi" w:cstheme="minorHAnsi"/>
        </w:rPr>
        <w:t>Arun</w:t>
      </w:r>
      <w:proofErr w:type="spellEnd"/>
      <w:r w:rsidR="00377898">
        <w:rPr>
          <w:rFonts w:asciiTheme="minorHAnsi" w:hAnsiTheme="minorHAnsi" w:cstheme="minorHAnsi"/>
        </w:rPr>
        <w:t xml:space="preserve"> district, Southgate in Crawley Borough</w:t>
      </w:r>
      <w:r w:rsidRPr="00757B21">
        <w:rPr>
          <w:rFonts w:asciiTheme="minorHAnsi" w:hAnsiTheme="minorHAnsi" w:cstheme="minorHAnsi"/>
        </w:rPr>
        <w:t xml:space="preserve"> and </w:t>
      </w:r>
      <w:proofErr w:type="spellStart"/>
      <w:r w:rsidRPr="00757B21">
        <w:rPr>
          <w:rFonts w:asciiTheme="minorHAnsi" w:hAnsiTheme="minorHAnsi" w:cstheme="minorHAnsi"/>
        </w:rPr>
        <w:t>Heene</w:t>
      </w:r>
      <w:proofErr w:type="spellEnd"/>
      <w:r w:rsidRPr="00757B21">
        <w:rPr>
          <w:rFonts w:asciiTheme="minorHAnsi" w:hAnsiTheme="minorHAnsi" w:cstheme="minorHAnsi"/>
        </w:rPr>
        <w:t xml:space="preserve"> and Central in Worthing Borough. The five wards with the highest life expectancies were Burgess Hill </w:t>
      </w:r>
      <w:proofErr w:type="spellStart"/>
      <w:r w:rsidRPr="00757B21">
        <w:rPr>
          <w:rFonts w:asciiTheme="minorHAnsi" w:hAnsiTheme="minorHAnsi" w:cstheme="minorHAnsi"/>
        </w:rPr>
        <w:t>Dunstall</w:t>
      </w:r>
      <w:proofErr w:type="spellEnd"/>
      <w:r w:rsidRPr="00757B21">
        <w:rPr>
          <w:rFonts w:asciiTheme="minorHAnsi" w:hAnsiTheme="minorHAnsi" w:cstheme="minorHAnsi"/>
        </w:rPr>
        <w:t xml:space="preserve"> and East Grinstead </w:t>
      </w:r>
      <w:proofErr w:type="spellStart"/>
      <w:r w:rsidRPr="00757B21">
        <w:rPr>
          <w:rFonts w:asciiTheme="minorHAnsi" w:hAnsiTheme="minorHAnsi" w:cstheme="minorHAnsi"/>
        </w:rPr>
        <w:t>Imberhorne</w:t>
      </w:r>
      <w:proofErr w:type="spellEnd"/>
      <w:r w:rsidRPr="00757B21">
        <w:rPr>
          <w:rFonts w:asciiTheme="minorHAnsi" w:hAnsiTheme="minorHAnsi" w:cstheme="minorHAnsi"/>
        </w:rPr>
        <w:t xml:space="preserve"> in Mid Sussex, </w:t>
      </w:r>
      <w:proofErr w:type="spellStart"/>
      <w:r w:rsidRPr="00757B21">
        <w:rPr>
          <w:rFonts w:asciiTheme="minorHAnsi" w:hAnsiTheme="minorHAnsi" w:cstheme="minorHAnsi"/>
        </w:rPr>
        <w:t>Findon</w:t>
      </w:r>
      <w:proofErr w:type="spellEnd"/>
      <w:r w:rsidRPr="00757B21">
        <w:rPr>
          <w:rFonts w:asciiTheme="minorHAnsi" w:hAnsiTheme="minorHAnsi" w:cstheme="minorHAnsi"/>
        </w:rPr>
        <w:t xml:space="preserve"> in </w:t>
      </w:r>
      <w:proofErr w:type="spellStart"/>
      <w:r w:rsidRPr="00757B21">
        <w:rPr>
          <w:rFonts w:asciiTheme="minorHAnsi" w:hAnsiTheme="minorHAnsi" w:cstheme="minorHAnsi"/>
        </w:rPr>
        <w:t>Arun</w:t>
      </w:r>
      <w:proofErr w:type="spellEnd"/>
      <w:r w:rsidRPr="00757B21">
        <w:rPr>
          <w:rFonts w:asciiTheme="minorHAnsi" w:hAnsiTheme="minorHAnsi" w:cstheme="minorHAnsi"/>
        </w:rPr>
        <w:t xml:space="preserve">, Pound Hill South in Crawley and </w:t>
      </w:r>
      <w:proofErr w:type="spellStart"/>
      <w:r w:rsidRPr="00757B21">
        <w:rPr>
          <w:rFonts w:asciiTheme="minorHAnsi" w:hAnsiTheme="minorHAnsi" w:cstheme="minorHAnsi"/>
        </w:rPr>
        <w:t>Harting</w:t>
      </w:r>
      <w:proofErr w:type="spellEnd"/>
      <w:r w:rsidRPr="00757B21">
        <w:rPr>
          <w:rFonts w:asciiTheme="minorHAnsi" w:hAnsiTheme="minorHAnsi" w:cstheme="minorHAnsi"/>
        </w:rPr>
        <w:t xml:space="preserve"> in Chichester. It should be noted that there were very few deaths in </w:t>
      </w:r>
      <w:r w:rsidR="00377898">
        <w:rPr>
          <w:rFonts w:asciiTheme="minorHAnsi" w:hAnsiTheme="minorHAnsi" w:cstheme="minorHAnsi"/>
        </w:rPr>
        <w:t>these five</w:t>
      </w:r>
      <w:r w:rsidRPr="00757B21">
        <w:rPr>
          <w:rFonts w:asciiTheme="minorHAnsi" w:hAnsiTheme="minorHAnsi" w:cstheme="minorHAnsi"/>
        </w:rPr>
        <w:t xml:space="preserve"> wards,</w:t>
      </w:r>
      <w:r w:rsidR="002B638D">
        <w:rPr>
          <w:rFonts w:asciiTheme="minorHAnsi" w:hAnsiTheme="minorHAnsi" w:cstheme="minorHAnsi"/>
        </w:rPr>
        <w:t xml:space="preserve"> meaning estimates carry a high degree of</w:t>
      </w:r>
      <w:r w:rsidRPr="00757B21">
        <w:rPr>
          <w:rFonts w:asciiTheme="minorHAnsi" w:hAnsiTheme="minorHAnsi" w:cstheme="minorHAnsi"/>
        </w:rPr>
        <w:t xml:space="preserve"> uncertain</w:t>
      </w:r>
      <w:r w:rsidR="002B638D">
        <w:rPr>
          <w:rFonts w:asciiTheme="minorHAnsi" w:hAnsiTheme="minorHAnsi" w:cstheme="minorHAnsi"/>
        </w:rPr>
        <w:t>ty</w:t>
      </w:r>
      <w:r w:rsidRPr="00757B21">
        <w:rPr>
          <w:rFonts w:asciiTheme="minorHAnsi" w:hAnsiTheme="minorHAnsi" w:cstheme="minorHAnsi"/>
        </w:rPr>
        <w:t>.</w:t>
      </w:r>
      <w:r w:rsidR="00352F21">
        <w:rPr>
          <w:rFonts w:asciiTheme="minorHAnsi" w:hAnsiTheme="minorHAnsi" w:cstheme="minorHAnsi"/>
        </w:rPr>
        <w:t xml:space="preserve"> Results are </w:t>
      </w:r>
      <w:r w:rsidR="00352F21">
        <w:rPr>
          <w:rFonts w:asciiTheme="minorHAnsi" w:hAnsiTheme="minorHAnsi" w:cstheme="minorHAnsi"/>
        </w:rPr>
        <w:lastRenderedPageBreak/>
        <w:t>shown in Table 3 (wards significantly higher and lower than the West Sussex average are highlighted green and red respectively).</w:t>
      </w:r>
    </w:p>
    <w:tbl>
      <w:tblPr>
        <w:tblW w:w="9139" w:type="dxa"/>
        <w:tblInd w:w="103" w:type="dxa"/>
        <w:tblLook w:val="04A0" w:firstRow="1" w:lastRow="0" w:firstColumn="1" w:lastColumn="0" w:noHBand="0" w:noVBand="1"/>
      </w:tblPr>
      <w:tblGrid>
        <w:gridCol w:w="2802"/>
        <w:gridCol w:w="1242"/>
        <w:gridCol w:w="1395"/>
        <w:gridCol w:w="1229"/>
        <w:gridCol w:w="1134"/>
        <w:gridCol w:w="1337"/>
      </w:tblGrid>
      <w:tr w:rsidR="00352F21" w:rsidRPr="00352F21" w:rsidTr="00352F21">
        <w:trPr>
          <w:trHeight w:val="300"/>
        </w:trPr>
        <w:tc>
          <w:tcPr>
            <w:tcW w:w="2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Highest Wards</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LE (2007-12)</w:t>
            </w:r>
          </w:p>
        </w:tc>
        <w:tc>
          <w:tcPr>
            <w:tcW w:w="1395" w:type="dxa"/>
            <w:tcBorders>
              <w:top w:val="single" w:sz="4" w:space="0" w:color="auto"/>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95% CI</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Lowest Wards</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LE (2007-12)</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95% CI</w:t>
            </w:r>
          </w:p>
        </w:tc>
      </w:tr>
      <w:tr w:rsidR="00352F21" w:rsidRPr="00352F21" w:rsidTr="00352F21">
        <w:trPr>
          <w:trHeight w:val="300"/>
        </w:trPr>
        <w:tc>
          <w:tcPr>
            <w:tcW w:w="2802" w:type="dxa"/>
            <w:tcBorders>
              <w:top w:val="nil"/>
              <w:left w:val="single" w:sz="4" w:space="0" w:color="auto"/>
              <w:bottom w:val="single" w:sz="4" w:space="0" w:color="auto"/>
              <w:right w:val="single" w:sz="4" w:space="0" w:color="auto"/>
            </w:tcBorders>
            <w:shd w:val="clear" w:color="auto" w:fill="C2D69B" w:themeFill="accent3" w:themeFillTint="99"/>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 xml:space="preserve">Burgess Hill </w:t>
            </w:r>
            <w:proofErr w:type="spellStart"/>
            <w:r w:rsidRPr="00352F21">
              <w:rPr>
                <w:rFonts w:eastAsia="Times New Roman" w:cs="Calibri"/>
                <w:color w:val="000000"/>
                <w:lang w:eastAsia="en-GB"/>
              </w:rPr>
              <w:t>Dunstall</w:t>
            </w:r>
            <w:proofErr w:type="spellEnd"/>
          </w:p>
        </w:tc>
        <w:tc>
          <w:tcPr>
            <w:tcW w:w="1242"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jc w:val="right"/>
              <w:rPr>
                <w:rFonts w:eastAsia="Times New Roman" w:cs="Calibri"/>
                <w:color w:val="000000"/>
                <w:lang w:eastAsia="en-GB"/>
              </w:rPr>
            </w:pPr>
            <w:r w:rsidRPr="00352F21">
              <w:rPr>
                <w:rFonts w:eastAsia="Times New Roman" w:cs="Calibri"/>
                <w:color w:val="000000"/>
                <w:lang w:eastAsia="en-GB"/>
              </w:rPr>
              <w:t>89.3</w:t>
            </w:r>
          </w:p>
        </w:tc>
        <w:tc>
          <w:tcPr>
            <w:tcW w:w="1395"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(84.3 - 94.4)</w:t>
            </w:r>
          </w:p>
        </w:tc>
        <w:tc>
          <w:tcPr>
            <w:tcW w:w="1229" w:type="dxa"/>
            <w:tcBorders>
              <w:top w:val="nil"/>
              <w:left w:val="nil"/>
              <w:bottom w:val="single" w:sz="4" w:space="0" w:color="auto"/>
              <w:right w:val="single" w:sz="4" w:space="0" w:color="auto"/>
            </w:tcBorders>
            <w:shd w:val="clear" w:color="auto" w:fill="D99594" w:themeFill="accent2" w:themeFillTint="99"/>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Southgate</w:t>
            </w:r>
          </w:p>
        </w:tc>
        <w:tc>
          <w:tcPr>
            <w:tcW w:w="1134"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jc w:val="right"/>
              <w:rPr>
                <w:rFonts w:eastAsia="Times New Roman" w:cs="Calibri"/>
                <w:color w:val="000000"/>
                <w:lang w:eastAsia="en-GB"/>
              </w:rPr>
            </w:pPr>
            <w:r w:rsidRPr="00352F21">
              <w:rPr>
                <w:rFonts w:eastAsia="Times New Roman" w:cs="Calibri"/>
                <w:color w:val="000000"/>
                <w:lang w:eastAsia="en-GB"/>
              </w:rPr>
              <w:t>78.0</w:t>
            </w:r>
          </w:p>
        </w:tc>
        <w:tc>
          <w:tcPr>
            <w:tcW w:w="1337"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(76.9 - 79.1)</w:t>
            </w:r>
          </w:p>
        </w:tc>
      </w:tr>
      <w:tr w:rsidR="00352F21" w:rsidRPr="00352F21" w:rsidTr="00352F21">
        <w:trPr>
          <w:trHeight w:val="300"/>
        </w:trPr>
        <w:tc>
          <w:tcPr>
            <w:tcW w:w="2802" w:type="dxa"/>
            <w:tcBorders>
              <w:top w:val="nil"/>
              <w:left w:val="single" w:sz="4" w:space="0" w:color="auto"/>
              <w:bottom w:val="single" w:sz="4" w:space="0" w:color="auto"/>
              <w:right w:val="single" w:sz="4" w:space="0" w:color="auto"/>
            </w:tcBorders>
            <w:shd w:val="clear" w:color="auto" w:fill="C2D69B" w:themeFill="accent3" w:themeFillTint="99"/>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 xml:space="preserve">East Grinstead </w:t>
            </w:r>
            <w:proofErr w:type="spellStart"/>
            <w:r w:rsidRPr="00352F21">
              <w:rPr>
                <w:rFonts w:eastAsia="Times New Roman" w:cs="Calibri"/>
                <w:color w:val="000000"/>
                <w:lang w:eastAsia="en-GB"/>
              </w:rPr>
              <w:t>Imberhorne</w:t>
            </w:r>
            <w:proofErr w:type="spellEnd"/>
          </w:p>
        </w:tc>
        <w:tc>
          <w:tcPr>
            <w:tcW w:w="1242"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jc w:val="right"/>
              <w:rPr>
                <w:rFonts w:eastAsia="Times New Roman" w:cs="Calibri"/>
                <w:color w:val="000000"/>
                <w:lang w:eastAsia="en-GB"/>
              </w:rPr>
            </w:pPr>
            <w:r w:rsidRPr="00352F21">
              <w:rPr>
                <w:rFonts w:eastAsia="Times New Roman" w:cs="Calibri"/>
                <w:color w:val="000000"/>
                <w:lang w:eastAsia="en-GB"/>
              </w:rPr>
              <w:t>87.5</w:t>
            </w:r>
          </w:p>
        </w:tc>
        <w:tc>
          <w:tcPr>
            <w:tcW w:w="1395"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(85.1 - 89.8)</w:t>
            </w:r>
          </w:p>
        </w:tc>
        <w:tc>
          <w:tcPr>
            <w:tcW w:w="1229" w:type="dxa"/>
            <w:tcBorders>
              <w:top w:val="nil"/>
              <w:left w:val="nil"/>
              <w:bottom w:val="single" w:sz="4" w:space="0" w:color="auto"/>
              <w:right w:val="single" w:sz="4" w:space="0" w:color="auto"/>
            </w:tcBorders>
            <w:shd w:val="clear" w:color="auto" w:fill="D99594" w:themeFill="accent2" w:themeFillTint="99"/>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Central</w:t>
            </w:r>
          </w:p>
        </w:tc>
        <w:tc>
          <w:tcPr>
            <w:tcW w:w="1134"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jc w:val="right"/>
              <w:rPr>
                <w:rFonts w:eastAsia="Times New Roman" w:cs="Calibri"/>
                <w:color w:val="000000"/>
                <w:lang w:eastAsia="en-GB"/>
              </w:rPr>
            </w:pPr>
            <w:r w:rsidRPr="00352F21">
              <w:rPr>
                <w:rFonts w:eastAsia="Times New Roman" w:cs="Calibri"/>
                <w:color w:val="000000"/>
                <w:lang w:eastAsia="en-GB"/>
              </w:rPr>
              <w:t>76.7</w:t>
            </w:r>
          </w:p>
        </w:tc>
        <w:tc>
          <w:tcPr>
            <w:tcW w:w="1337"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(75.6 - 77.9)</w:t>
            </w:r>
          </w:p>
        </w:tc>
      </w:tr>
      <w:tr w:rsidR="00352F21" w:rsidRPr="00352F21" w:rsidTr="00352F21">
        <w:trPr>
          <w:trHeight w:val="300"/>
        </w:trPr>
        <w:tc>
          <w:tcPr>
            <w:tcW w:w="2802" w:type="dxa"/>
            <w:tcBorders>
              <w:top w:val="nil"/>
              <w:left w:val="single" w:sz="4" w:space="0" w:color="auto"/>
              <w:bottom w:val="single" w:sz="4" w:space="0" w:color="auto"/>
              <w:right w:val="single" w:sz="4" w:space="0" w:color="auto"/>
            </w:tcBorders>
            <w:shd w:val="clear" w:color="auto" w:fill="C2D69B" w:themeFill="accent3" w:themeFillTint="99"/>
            <w:noWrap/>
            <w:vAlign w:val="bottom"/>
            <w:hideMark/>
          </w:tcPr>
          <w:p w:rsidR="00352F21" w:rsidRPr="00352F21" w:rsidRDefault="00352F21" w:rsidP="00352F21">
            <w:pPr>
              <w:spacing w:after="0" w:line="240" w:lineRule="auto"/>
              <w:rPr>
                <w:rFonts w:eastAsia="Times New Roman" w:cs="Calibri"/>
                <w:color w:val="000000"/>
                <w:lang w:eastAsia="en-GB"/>
              </w:rPr>
            </w:pPr>
            <w:proofErr w:type="spellStart"/>
            <w:r w:rsidRPr="00352F21">
              <w:rPr>
                <w:rFonts w:eastAsia="Times New Roman" w:cs="Calibri"/>
                <w:color w:val="000000"/>
                <w:lang w:eastAsia="en-GB"/>
              </w:rPr>
              <w:t>Findon</w:t>
            </w:r>
            <w:proofErr w:type="spellEnd"/>
          </w:p>
        </w:tc>
        <w:tc>
          <w:tcPr>
            <w:tcW w:w="1242"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jc w:val="right"/>
              <w:rPr>
                <w:rFonts w:eastAsia="Times New Roman" w:cs="Calibri"/>
                <w:color w:val="000000"/>
                <w:lang w:eastAsia="en-GB"/>
              </w:rPr>
            </w:pPr>
            <w:r w:rsidRPr="00352F21">
              <w:rPr>
                <w:rFonts w:eastAsia="Times New Roman" w:cs="Calibri"/>
                <w:color w:val="000000"/>
                <w:lang w:eastAsia="en-GB"/>
              </w:rPr>
              <w:t>87.4</w:t>
            </w:r>
          </w:p>
        </w:tc>
        <w:tc>
          <w:tcPr>
            <w:tcW w:w="1395"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(85.1 - 89.7)</w:t>
            </w:r>
          </w:p>
        </w:tc>
        <w:tc>
          <w:tcPr>
            <w:tcW w:w="1229" w:type="dxa"/>
            <w:tcBorders>
              <w:top w:val="nil"/>
              <w:left w:val="nil"/>
              <w:bottom w:val="single" w:sz="4" w:space="0" w:color="auto"/>
              <w:right w:val="single" w:sz="4" w:space="0" w:color="auto"/>
            </w:tcBorders>
            <w:shd w:val="clear" w:color="auto" w:fill="D99594" w:themeFill="accent2" w:themeFillTint="99"/>
            <w:noWrap/>
            <w:vAlign w:val="bottom"/>
            <w:hideMark/>
          </w:tcPr>
          <w:p w:rsidR="00352F21" w:rsidRPr="00352F21" w:rsidRDefault="00352F21" w:rsidP="00352F21">
            <w:pPr>
              <w:spacing w:after="0" w:line="240" w:lineRule="auto"/>
              <w:rPr>
                <w:rFonts w:eastAsia="Times New Roman" w:cs="Calibri"/>
                <w:color w:val="000000"/>
                <w:lang w:eastAsia="en-GB"/>
              </w:rPr>
            </w:pPr>
            <w:proofErr w:type="spellStart"/>
            <w:r w:rsidRPr="00352F21">
              <w:rPr>
                <w:rFonts w:eastAsia="Times New Roman" w:cs="Calibri"/>
                <w:color w:val="000000"/>
                <w:lang w:eastAsia="en-GB"/>
              </w:rPr>
              <w:t>Heene</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jc w:val="right"/>
              <w:rPr>
                <w:rFonts w:eastAsia="Times New Roman" w:cs="Calibri"/>
                <w:color w:val="000000"/>
                <w:lang w:eastAsia="en-GB"/>
              </w:rPr>
            </w:pPr>
            <w:r w:rsidRPr="00352F21">
              <w:rPr>
                <w:rFonts w:eastAsia="Times New Roman" w:cs="Calibri"/>
                <w:color w:val="000000"/>
                <w:lang w:eastAsia="en-GB"/>
              </w:rPr>
              <w:t>75.2</w:t>
            </w:r>
          </w:p>
        </w:tc>
        <w:tc>
          <w:tcPr>
            <w:tcW w:w="1337"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(73.9 - 76.5)</w:t>
            </w:r>
          </w:p>
        </w:tc>
      </w:tr>
      <w:tr w:rsidR="00352F21" w:rsidRPr="00352F21" w:rsidTr="00352F21">
        <w:trPr>
          <w:trHeight w:val="300"/>
        </w:trPr>
        <w:tc>
          <w:tcPr>
            <w:tcW w:w="2802" w:type="dxa"/>
            <w:tcBorders>
              <w:top w:val="nil"/>
              <w:left w:val="single" w:sz="4" w:space="0" w:color="auto"/>
              <w:bottom w:val="single" w:sz="4" w:space="0" w:color="auto"/>
              <w:right w:val="single" w:sz="4" w:space="0" w:color="auto"/>
            </w:tcBorders>
            <w:shd w:val="clear" w:color="auto" w:fill="C2D69B" w:themeFill="accent3" w:themeFillTint="99"/>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Pound Hill South and Worth</w:t>
            </w:r>
          </w:p>
        </w:tc>
        <w:tc>
          <w:tcPr>
            <w:tcW w:w="1242"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jc w:val="right"/>
              <w:rPr>
                <w:rFonts w:eastAsia="Times New Roman" w:cs="Calibri"/>
                <w:color w:val="000000"/>
                <w:lang w:eastAsia="en-GB"/>
              </w:rPr>
            </w:pPr>
            <w:r w:rsidRPr="00352F21">
              <w:rPr>
                <w:rFonts w:eastAsia="Times New Roman" w:cs="Calibri"/>
                <w:color w:val="000000"/>
                <w:lang w:eastAsia="en-GB"/>
              </w:rPr>
              <w:t>86.6</w:t>
            </w:r>
          </w:p>
        </w:tc>
        <w:tc>
          <w:tcPr>
            <w:tcW w:w="1395"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(84.4 - 88.9)</w:t>
            </w:r>
          </w:p>
        </w:tc>
        <w:tc>
          <w:tcPr>
            <w:tcW w:w="1229" w:type="dxa"/>
            <w:tcBorders>
              <w:top w:val="nil"/>
              <w:left w:val="nil"/>
              <w:bottom w:val="single" w:sz="4" w:space="0" w:color="auto"/>
              <w:right w:val="single" w:sz="4" w:space="0" w:color="auto"/>
            </w:tcBorders>
            <w:shd w:val="clear" w:color="auto" w:fill="D99594" w:themeFill="accent2" w:themeFillTint="99"/>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Marine</w:t>
            </w:r>
          </w:p>
        </w:tc>
        <w:tc>
          <w:tcPr>
            <w:tcW w:w="1134"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jc w:val="right"/>
              <w:rPr>
                <w:rFonts w:eastAsia="Times New Roman" w:cs="Calibri"/>
                <w:color w:val="000000"/>
                <w:lang w:eastAsia="en-GB"/>
              </w:rPr>
            </w:pPr>
            <w:r w:rsidRPr="00352F21">
              <w:rPr>
                <w:rFonts w:eastAsia="Times New Roman" w:cs="Calibri"/>
                <w:color w:val="000000"/>
                <w:lang w:eastAsia="en-GB"/>
              </w:rPr>
              <w:t>74.5</w:t>
            </w:r>
          </w:p>
        </w:tc>
        <w:tc>
          <w:tcPr>
            <w:tcW w:w="1337"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(73 - 75.9)</w:t>
            </w:r>
          </w:p>
        </w:tc>
      </w:tr>
      <w:tr w:rsidR="00352F21" w:rsidRPr="00352F21" w:rsidTr="00352F21">
        <w:trPr>
          <w:trHeight w:val="300"/>
        </w:trPr>
        <w:tc>
          <w:tcPr>
            <w:tcW w:w="2802" w:type="dxa"/>
            <w:tcBorders>
              <w:top w:val="nil"/>
              <w:left w:val="single" w:sz="4" w:space="0" w:color="auto"/>
              <w:bottom w:val="single" w:sz="4" w:space="0" w:color="auto"/>
              <w:right w:val="single" w:sz="4" w:space="0" w:color="auto"/>
            </w:tcBorders>
            <w:shd w:val="clear" w:color="auto" w:fill="C2D69B" w:themeFill="accent3" w:themeFillTint="99"/>
            <w:noWrap/>
            <w:vAlign w:val="bottom"/>
            <w:hideMark/>
          </w:tcPr>
          <w:p w:rsidR="00352F21" w:rsidRPr="00352F21" w:rsidRDefault="00352F21" w:rsidP="00352F21">
            <w:pPr>
              <w:spacing w:after="0" w:line="240" w:lineRule="auto"/>
              <w:rPr>
                <w:rFonts w:eastAsia="Times New Roman" w:cs="Calibri"/>
                <w:color w:val="000000"/>
                <w:lang w:eastAsia="en-GB"/>
              </w:rPr>
            </w:pPr>
            <w:proofErr w:type="spellStart"/>
            <w:r w:rsidRPr="00352F21">
              <w:rPr>
                <w:rFonts w:eastAsia="Times New Roman" w:cs="Calibri"/>
                <w:color w:val="000000"/>
                <w:lang w:eastAsia="en-GB"/>
              </w:rPr>
              <w:t>Harting</w:t>
            </w:r>
            <w:proofErr w:type="spellEnd"/>
          </w:p>
        </w:tc>
        <w:tc>
          <w:tcPr>
            <w:tcW w:w="1242"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jc w:val="right"/>
              <w:rPr>
                <w:rFonts w:eastAsia="Times New Roman" w:cs="Calibri"/>
                <w:color w:val="000000"/>
                <w:lang w:eastAsia="en-GB"/>
              </w:rPr>
            </w:pPr>
            <w:r w:rsidRPr="00352F21">
              <w:rPr>
                <w:rFonts w:eastAsia="Times New Roman" w:cs="Calibri"/>
                <w:color w:val="000000"/>
                <w:lang w:eastAsia="en-GB"/>
              </w:rPr>
              <w:t>86.6</w:t>
            </w:r>
          </w:p>
        </w:tc>
        <w:tc>
          <w:tcPr>
            <w:tcW w:w="1395"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(84.1 - 89.1)</w:t>
            </w:r>
          </w:p>
        </w:tc>
        <w:tc>
          <w:tcPr>
            <w:tcW w:w="1229" w:type="dxa"/>
            <w:tcBorders>
              <w:top w:val="nil"/>
              <w:left w:val="nil"/>
              <w:bottom w:val="single" w:sz="4" w:space="0" w:color="auto"/>
              <w:right w:val="single" w:sz="4" w:space="0" w:color="auto"/>
            </w:tcBorders>
            <w:shd w:val="clear" w:color="auto" w:fill="D99594" w:themeFill="accent2" w:themeFillTint="99"/>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River</w:t>
            </w:r>
          </w:p>
        </w:tc>
        <w:tc>
          <w:tcPr>
            <w:tcW w:w="1134"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jc w:val="right"/>
              <w:rPr>
                <w:rFonts w:eastAsia="Times New Roman" w:cs="Calibri"/>
                <w:color w:val="000000"/>
                <w:lang w:eastAsia="en-GB"/>
              </w:rPr>
            </w:pPr>
            <w:r w:rsidRPr="00352F21">
              <w:rPr>
                <w:rFonts w:eastAsia="Times New Roman" w:cs="Calibri"/>
                <w:color w:val="000000"/>
                <w:lang w:eastAsia="en-GB"/>
              </w:rPr>
              <w:t>74.2</w:t>
            </w:r>
          </w:p>
        </w:tc>
        <w:tc>
          <w:tcPr>
            <w:tcW w:w="1337" w:type="dxa"/>
            <w:tcBorders>
              <w:top w:val="nil"/>
              <w:left w:val="nil"/>
              <w:bottom w:val="single" w:sz="4" w:space="0" w:color="auto"/>
              <w:right w:val="single" w:sz="4" w:space="0" w:color="auto"/>
            </w:tcBorders>
            <w:shd w:val="clear" w:color="auto" w:fill="auto"/>
            <w:noWrap/>
            <w:vAlign w:val="bottom"/>
            <w:hideMark/>
          </w:tcPr>
          <w:p w:rsidR="00352F21" w:rsidRPr="00352F21" w:rsidRDefault="00352F21" w:rsidP="00352F21">
            <w:pPr>
              <w:spacing w:after="0" w:line="240" w:lineRule="auto"/>
              <w:rPr>
                <w:rFonts w:eastAsia="Times New Roman" w:cs="Calibri"/>
                <w:color w:val="000000"/>
                <w:lang w:eastAsia="en-GB"/>
              </w:rPr>
            </w:pPr>
            <w:r w:rsidRPr="00352F21">
              <w:rPr>
                <w:rFonts w:eastAsia="Times New Roman" w:cs="Calibri"/>
                <w:color w:val="000000"/>
                <w:lang w:eastAsia="en-GB"/>
              </w:rPr>
              <w:t>(72.8 - 75.6)</w:t>
            </w:r>
          </w:p>
        </w:tc>
      </w:tr>
    </w:tbl>
    <w:p w:rsidR="007824D1" w:rsidRPr="00352F21" w:rsidRDefault="00352F21">
      <w:pPr>
        <w:rPr>
          <w:rFonts w:asciiTheme="minorHAnsi" w:hAnsiTheme="minorHAnsi" w:cstheme="minorHAnsi"/>
          <w:b/>
          <w:sz w:val="20"/>
        </w:rPr>
      </w:pPr>
      <w:r w:rsidRPr="00352F21">
        <w:rPr>
          <w:rFonts w:asciiTheme="minorHAnsi" w:hAnsiTheme="minorHAnsi" w:cstheme="minorHAnsi"/>
          <w:b/>
          <w:sz w:val="20"/>
        </w:rPr>
        <w:t>Table 4 – Highest and Lowest Ward Level Life Expectancies 2007-12</w:t>
      </w:r>
    </w:p>
    <w:p w:rsidR="00BF69CC" w:rsidRPr="00757B21" w:rsidRDefault="00BF69CC">
      <w:pPr>
        <w:rPr>
          <w:rFonts w:asciiTheme="minorHAnsi" w:hAnsiTheme="minorHAnsi" w:cstheme="minorHAnsi"/>
        </w:rPr>
      </w:pPr>
      <w:r w:rsidRPr="00757B21">
        <w:rPr>
          <w:rFonts w:asciiTheme="minorHAnsi" w:hAnsiTheme="minorHAnsi" w:cstheme="minorHAnsi"/>
        </w:rPr>
        <w:t xml:space="preserve">Factoring </w:t>
      </w:r>
      <w:r w:rsidR="009948F7" w:rsidRPr="00757B21">
        <w:rPr>
          <w:rFonts w:asciiTheme="minorHAnsi" w:hAnsiTheme="minorHAnsi" w:cstheme="minorHAnsi"/>
        </w:rPr>
        <w:t xml:space="preserve">out </w:t>
      </w:r>
      <w:r w:rsidRPr="00757B21">
        <w:rPr>
          <w:rFonts w:asciiTheme="minorHAnsi" w:hAnsiTheme="minorHAnsi" w:cstheme="minorHAnsi"/>
        </w:rPr>
        <w:t>wards in wh</w:t>
      </w:r>
      <w:r w:rsidR="002B638D">
        <w:rPr>
          <w:rFonts w:asciiTheme="minorHAnsi" w:hAnsiTheme="minorHAnsi" w:cstheme="minorHAnsi"/>
        </w:rPr>
        <w:t>ich very few deaths occurred</w:t>
      </w:r>
      <w:r w:rsidRPr="00757B21">
        <w:rPr>
          <w:rFonts w:asciiTheme="minorHAnsi" w:hAnsiTheme="minorHAnsi" w:cstheme="minorHAnsi"/>
        </w:rPr>
        <w:t xml:space="preserve"> (standard error &gt; 1</w:t>
      </w:r>
      <w:r w:rsidR="007824D1">
        <w:rPr>
          <w:rStyle w:val="FootnoteReference"/>
          <w:rFonts w:asciiTheme="minorHAnsi" w:hAnsiTheme="minorHAnsi" w:cstheme="minorHAnsi"/>
        </w:rPr>
        <w:footnoteReference w:id="10"/>
      </w:r>
      <w:r w:rsidRPr="00757B21">
        <w:rPr>
          <w:rFonts w:asciiTheme="minorHAnsi" w:hAnsiTheme="minorHAnsi" w:cstheme="minorHAnsi"/>
        </w:rPr>
        <w:t xml:space="preserve">), the absolute difference in life expectancy at ward level was 11.7 years in 2001-2006 and 13.2 years in 2007-2012 (this change is not statistically significant). </w:t>
      </w:r>
    </w:p>
    <w:p w:rsidR="00BF69CC" w:rsidRPr="00757B21" w:rsidRDefault="00BF69CC">
      <w:pPr>
        <w:rPr>
          <w:rFonts w:asciiTheme="minorHAnsi" w:hAnsiTheme="minorHAnsi" w:cstheme="minorHAnsi"/>
        </w:rPr>
      </w:pPr>
      <w:r w:rsidRPr="00757B21">
        <w:rPr>
          <w:rFonts w:asciiTheme="minorHAnsi" w:hAnsiTheme="minorHAnsi" w:cstheme="minorHAnsi"/>
        </w:rPr>
        <w:t xml:space="preserve">Map 2 shows the wards which had life expectancies significantly above or below the West Sussex average in </w:t>
      </w:r>
      <w:r w:rsidRPr="00757B21">
        <w:rPr>
          <w:rFonts w:asciiTheme="minorHAnsi" w:hAnsiTheme="minorHAnsi" w:cstheme="minorHAnsi"/>
          <w:u w:val="single"/>
        </w:rPr>
        <w:t>both</w:t>
      </w:r>
      <w:r w:rsidRPr="00757B21">
        <w:rPr>
          <w:rFonts w:asciiTheme="minorHAnsi" w:hAnsiTheme="minorHAnsi" w:cstheme="minorHAnsi"/>
          <w:b/>
        </w:rPr>
        <w:t xml:space="preserve"> </w:t>
      </w:r>
      <w:r w:rsidR="00920862" w:rsidRPr="00757B21">
        <w:rPr>
          <w:rFonts w:asciiTheme="minorHAnsi" w:hAnsiTheme="minorHAnsi" w:cstheme="minorHAnsi"/>
        </w:rPr>
        <w:t xml:space="preserve">time periods. </w:t>
      </w:r>
      <w:r w:rsidR="00CF00B2" w:rsidRPr="00757B21">
        <w:rPr>
          <w:rFonts w:asciiTheme="minorHAnsi" w:hAnsiTheme="minorHAnsi" w:cstheme="minorHAnsi"/>
        </w:rPr>
        <w:t xml:space="preserve">Of the 58 wards that were significantly different from the West Sussex </w:t>
      </w:r>
      <w:r w:rsidR="004C4F81" w:rsidRPr="00757B21">
        <w:rPr>
          <w:rFonts w:asciiTheme="minorHAnsi" w:hAnsiTheme="minorHAnsi" w:cstheme="minorHAnsi"/>
        </w:rPr>
        <w:t xml:space="preserve">average in </w:t>
      </w:r>
      <w:r w:rsidR="00AB304E">
        <w:rPr>
          <w:rFonts w:asciiTheme="minorHAnsi" w:hAnsiTheme="minorHAnsi" w:cstheme="minorHAnsi"/>
        </w:rPr>
        <w:t>20</w:t>
      </w:r>
      <w:r w:rsidR="004C4F81" w:rsidRPr="00757B21">
        <w:rPr>
          <w:rFonts w:asciiTheme="minorHAnsi" w:hAnsiTheme="minorHAnsi" w:cstheme="minorHAnsi"/>
        </w:rPr>
        <w:t xml:space="preserve">01-06, 76% (44) remained significantly different in </w:t>
      </w:r>
      <w:r w:rsidR="00AB304E">
        <w:rPr>
          <w:rFonts w:asciiTheme="minorHAnsi" w:hAnsiTheme="minorHAnsi" w:cstheme="minorHAnsi"/>
        </w:rPr>
        <w:t>20</w:t>
      </w:r>
      <w:r w:rsidR="004C4F81" w:rsidRPr="00757B21">
        <w:rPr>
          <w:rFonts w:asciiTheme="minorHAnsi" w:hAnsiTheme="minorHAnsi" w:cstheme="minorHAnsi"/>
        </w:rPr>
        <w:t>07-12.</w:t>
      </w:r>
    </w:p>
    <w:p w:rsidR="004C4F81" w:rsidRPr="00757B21" w:rsidRDefault="00806140">
      <w:pPr>
        <w:rPr>
          <w:rFonts w:asciiTheme="minorHAnsi" w:hAnsiTheme="minorHAnsi" w:cstheme="minorHAnsi"/>
        </w:rPr>
      </w:pPr>
      <w:r>
        <w:rPr>
          <w:rFonts w:asciiTheme="minorHAnsi" w:hAnsiTheme="minorHAnsi" w:cstheme="minorHAnsi"/>
          <w:noProof/>
          <w:lang w:eastAsia="en-GB"/>
        </w:rPr>
        <w:drawing>
          <wp:inline distT="0" distB="0" distL="0" distR="0">
            <wp:extent cx="5731510" cy="41573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57345"/>
                    </a:xfrm>
                    <a:prstGeom prst="rect">
                      <a:avLst/>
                    </a:prstGeom>
                    <a:noFill/>
                    <a:ln>
                      <a:noFill/>
                    </a:ln>
                  </pic:spPr>
                </pic:pic>
              </a:graphicData>
            </a:graphic>
          </wp:inline>
        </w:drawing>
      </w:r>
    </w:p>
    <w:p w:rsidR="004C4F81" w:rsidRPr="00757B21" w:rsidRDefault="004C4F81">
      <w:pPr>
        <w:rPr>
          <w:rFonts w:asciiTheme="minorHAnsi" w:hAnsiTheme="minorHAnsi" w:cstheme="minorHAnsi"/>
          <w:b/>
          <w:sz w:val="18"/>
        </w:rPr>
      </w:pPr>
      <w:r w:rsidRPr="00757B21">
        <w:rPr>
          <w:rFonts w:asciiTheme="minorHAnsi" w:hAnsiTheme="minorHAnsi" w:cstheme="minorHAnsi"/>
          <w:b/>
          <w:sz w:val="18"/>
        </w:rPr>
        <w:t xml:space="preserve">Map 2 – Wards that were significantly different </w:t>
      </w:r>
      <w:r w:rsidR="00AB304E">
        <w:rPr>
          <w:rFonts w:asciiTheme="minorHAnsi" w:hAnsiTheme="minorHAnsi" w:cstheme="minorHAnsi"/>
          <w:b/>
          <w:sz w:val="18"/>
        </w:rPr>
        <w:t>from</w:t>
      </w:r>
      <w:r w:rsidR="00052A25" w:rsidRPr="00757B21">
        <w:rPr>
          <w:rFonts w:asciiTheme="minorHAnsi" w:hAnsiTheme="minorHAnsi" w:cstheme="minorHAnsi"/>
          <w:b/>
          <w:sz w:val="18"/>
        </w:rPr>
        <w:t xml:space="preserve"> the West Sussex average </w:t>
      </w:r>
      <w:r w:rsidRPr="00757B21">
        <w:rPr>
          <w:rFonts w:asciiTheme="minorHAnsi" w:hAnsiTheme="minorHAnsi" w:cstheme="minorHAnsi"/>
          <w:b/>
          <w:sz w:val="18"/>
        </w:rPr>
        <w:t>in both periods (</w:t>
      </w:r>
      <w:r w:rsidR="00AB304E">
        <w:rPr>
          <w:rFonts w:asciiTheme="minorHAnsi" w:hAnsiTheme="minorHAnsi" w:cstheme="minorHAnsi"/>
          <w:b/>
          <w:sz w:val="18"/>
        </w:rPr>
        <w:t>20</w:t>
      </w:r>
      <w:r w:rsidRPr="00757B21">
        <w:rPr>
          <w:rFonts w:asciiTheme="minorHAnsi" w:hAnsiTheme="minorHAnsi" w:cstheme="minorHAnsi"/>
          <w:b/>
          <w:sz w:val="18"/>
        </w:rPr>
        <w:t xml:space="preserve">01-06, </w:t>
      </w:r>
      <w:r w:rsidR="00AB304E">
        <w:rPr>
          <w:rFonts w:asciiTheme="minorHAnsi" w:hAnsiTheme="minorHAnsi" w:cstheme="minorHAnsi"/>
          <w:b/>
          <w:sz w:val="18"/>
        </w:rPr>
        <w:t>20</w:t>
      </w:r>
      <w:r w:rsidRPr="00757B21">
        <w:rPr>
          <w:rFonts w:asciiTheme="minorHAnsi" w:hAnsiTheme="minorHAnsi" w:cstheme="minorHAnsi"/>
          <w:b/>
          <w:sz w:val="18"/>
        </w:rPr>
        <w:t>07-12)</w:t>
      </w:r>
    </w:p>
    <w:p w:rsidR="004C4F81" w:rsidRPr="00757B21" w:rsidRDefault="004C4F81">
      <w:pPr>
        <w:rPr>
          <w:rFonts w:asciiTheme="minorHAnsi" w:hAnsiTheme="minorHAnsi" w:cstheme="minorHAnsi"/>
        </w:rPr>
      </w:pPr>
    </w:p>
    <w:p w:rsidR="00076197" w:rsidRPr="00757B21" w:rsidRDefault="00076197">
      <w:pPr>
        <w:rPr>
          <w:rFonts w:asciiTheme="minorHAnsi" w:hAnsiTheme="minorHAnsi" w:cstheme="minorHAnsi"/>
        </w:rPr>
      </w:pPr>
      <w:r w:rsidRPr="00757B21">
        <w:rPr>
          <w:rFonts w:asciiTheme="minorHAnsi" w:hAnsiTheme="minorHAnsi" w:cstheme="minorHAnsi"/>
        </w:rPr>
        <w:lastRenderedPageBreak/>
        <w:t xml:space="preserve">There were 20 wards in </w:t>
      </w:r>
      <w:r w:rsidR="00AB304E">
        <w:rPr>
          <w:rFonts w:asciiTheme="minorHAnsi" w:hAnsiTheme="minorHAnsi" w:cstheme="minorHAnsi"/>
        </w:rPr>
        <w:t xml:space="preserve">West Sussex in </w:t>
      </w:r>
      <w:r w:rsidRPr="00757B21">
        <w:rPr>
          <w:rFonts w:asciiTheme="minorHAnsi" w:hAnsiTheme="minorHAnsi" w:cstheme="minorHAnsi"/>
        </w:rPr>
        <w:t>which LE increased significantly between the two periods and none where it decreased significantly. These wards are shown in Map 3.</w:t>
      </w:r>
    </w:p>
    <w:p w:rsidR="00076197" w:rsidRPr="00757B21" w:rsidRDefault="00933284">
      <w:pPr>
        <w:rPr>
          <w:rFonts w:asciiTheme="minorHAnsi" w:hAnsiTheme="minorHAnsi" w:cstheme="minorHAnsi"/>
        </w:rPr>
      </w:pPr>
      <w:r w:rsidRPr="00757B21">
        <w:rPr>
          <w:rFonts w:asciiTheme="minorHAnsi" w:hAnsiTheme="minorHAnsi" w:cstheme="minorHAnsi"/>
          <w:noProof/>
          <w:lang w:eastAsia="en-GB"/>
        </w:rPr>
        <w:drawing>
          <wp:inline distT="0" distB="0" distL="0" distR="0" wp14:anchorId="051B6581" wp14:editId="0711C15C">
            <wp:extent cx="5725795" cy="38544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795" cy="3854450"/>
                    </a:xfrm>
                    <a:prstGeom prst="rect">
                      <a:avLst/>
                    </a:prstGeom>
                    <a:noFill/>
                    <a:ln>
                      <a:noFill/>
                    </a:ln>
                  </pic:spPr>
                </pic:pic>
              </a:graphicData>
            </a:graphic>
          </wp:inline>
        </w:drawing>
      </w:r>
    </w:p>
    <w:p w:rsidR="00076197" w:rsidRPr="00757B21" w:rsidRDefault="00076197">
      <w:pPr>
        <w:rPr>
          <w:rFonts w:asciiTheme="minorHAnsi" w:hAnsiTheme="minorHAnsi" w:cstheme="minorHAnsi"/>
          <w:b/>
          <w:sz w:val="18"/>
        </w:rPr>
      </w:pPr>
      <w:r w:rsidRPr="00757B21">
        <w:rPr>
          <w:rFonts w:asciiTheme="minorHAnsi" w:hAnsiTheme="minorHAnsi" w:cstheme="minorHAnsi"/>
          <w:b/>
          <w:sz w:val="18"/>
        </w:rPr>
        <w:t>Map 3 – Wards where LE significantly increased</w:t>
      </w:r>
      <w:r w:rsidR="00CB4671" w:rsidRPr="00757B21">
        <w:rPr>
          <w:rFonts w:asciiTheme="minorHAnsi" w:hAnsiTheme="minorHAnsi" w:cstheme="minorHAnsi"/>
          <w:b/>
          <w:sz w:val="18"/>
        </w:rPr>
        <w:t xml:space="preserve"> (</w:t>
      </w:r>
      <w:r w:rsidR="00AB304E">
        <w:rPr>
          <w:rFonts w:asciiTheme="minorHAnsi" w:hAnsiTheme="minorHAnsi" w:cstheme="minorHAnsi"/>
          <w:b/>
          <w:sz w:val="18"/>
        </w:rPr>
        <w:t>20</w:t>
      </w:r>
      <w:r w:rsidR="00CB4671" w:rsidRPr="00757B21">
        <w:rPr>
          <w:rFonts w:asciiTheme="minorHAnsi" w:hAnsiTheme="minorHAnsi" w:cstheme="minorHAnsi"/>
          <w:b/>
          <w:sz w:val="18"/>
        </w:rPr>
        <w:t xml:space="preserve">01-06, </w:t>
      </w:r>
      <w:r w:rsidR="00AB304E">
        <w:rPr>
          <w:rFonts w:asciiTheme="minorHAnsi" w:hAnsiTheme="minorHAnsi" w:cstheme="minorHAnsi"/>
          <w:b/>
          <w:sz w:val="18"/>
        </w:rPr>
        <w:t>20</w:t>
      </w:r>
      <w:r w:rsidR="00CB4671" w:rsidRPr="00757B21">
        <w:rPr>
          <w:rFonts w:asciiTheme="minorHAnsi" w:hAnsiTheme="minorHAnsi" w:cstheme="minorHAnsi"/>
          <w:b/>
          <w:sz w:val="18"/>
        </w:rPr>
        <w:t>07-12)</w:t>
      </w:r>
    </w:p>
    <w:p w:rsidR="00AB304E" w:rsidRDefault="00AB304E">
      <w:pPr>
        <w:rPr>
          <w:rFonts w:asciiTheme="minorHAnsi" w:hAnsiTheme="minorHAnsi" w:cstheme="minorHAnsi"/>
        </w:rPr>
      </w:pPr>
    </w:p>
    <w:p w:rsidR="00AB304E" w:rsidRDefault="00AB304E">
      <w:pPr>
        <w:rPr>
          <w:rFonts w:asciiTheme="minorHAnsi" w:hAnsiTheme="minorHAnsi" w:cstheme="minorHAnsi"/>
        </w:rPr>
      </w:pPr>
    </w:p>
    <w:p w:rsidR="00AB304E" w:rsidRDefault="00AB304E">
      <w:pPr>
        <w:rPr>
          <w:rFonts w:asciiTheme="minorHAnsi" w:hAnsiTheme="minorHAnsi" w:cstheme="minorHAnsi"/>
        </w:rPr>
      </w:pPr>
    </w:p>
    <w:p w:rsidR="00AB304E" w:rsidRDefault="00AB304E">
      <w:pPr>
        <w:rPr>
          <w:rFonts w:asciiTheme="minorHAnsi" w:hAnsiTheme="minorHAnsi" w:cstheme="minorHAnsi"/>
        </w:rPr>
      </w:pPr>
    </w:p>
    <w:p w:rsidR="00AB304E" w:rsidRDefault="00AB304E">
      <w:pPr>
        <w:rPr>
          <w:rFonts w:asciiTheme="minorHAnsi" w:hAnsiTheme="minorHAnsi" w:cstheme="minorHAnsi"/>
        </w:rPr>
      </w:pPr>
    </w:p>
    <w:p w:rsidR="00AB304E" w:rsidRDefault="00AB304E">
      <w:pPr>
        <w:rPr>
          <w:rFonts w:asciiTheme="minorHAnsi" w:hAnsiTheme="minorHAnsi" w:cstheme="minorHAnsi"/>
        </w:rPr>
      </w:pPr>
    </w:p>
    <w:p w:rsidR="00AB304E" w:rsidRDefault="00AB304E">
      <w:pPr>
        <w:rPr>
          <w:rFonts w:asciiTheme="minorHAnsi" w:hAnsiTheme="minorHAnsi" w:cstheme="minorHAnsi"/>
        </w:rPr>
      </w:pPr>
    </w:p>
    <w:p w:rsidR="00AB304E" w:rsidRDefault="00AB304E">
      <w:pPr>
        <w:rPr>
          <w:rFonts w:asciiTheme="minorHAnsi" w:hAnsiTheme="minorHAnsi" w:cstheme="minorHAnsi"/>
        </w:rPr>
      </w:pPr>
    </w:p>
    <w:p w:rsidR="00AB304E" w:rsidRDefault="00AB304E">
      <w:pPr>
        <w:rPr>
          <w:rFonts w:asciiTheme="minorHAnsi" w:hAnsiTheme="minorHAnsi" w:cstheme="minorHAnsi"/>
        </w:rPr>
      </w:pPr>
    </w:p>
    <w:p w:rsidR="00AB304E" w:rsidRDefault="00AB304E">
      <w:pPr>
        <w:rPr>
          <w:rFonts w:asciiTheme="minorHAnsi" w:hAnsiTheme="minorHAnsi" w:cstheme="minorHAnsi"/>
        </w:rPr>
      </w:pPr>
    </w:p>
    <w:p w:rsidR="00AB304E" w:rsidRDefault="00AB304E">
      <w:pPr>
        <w:rPr>
          <w:rFonts w:asciiTheme="minorHAnsi" w:hAnsiTheme="minorHAnsi" w:cstheme="minorHAnsi"/>
        </w:rPr>
      </w:pPr>
    </w:p>
    <w:p w:rsidR="00AB304E" w:rsidRDefault="00AB304E">
      <w:pPr>
        <w:rPr>
          <w:rFonts w:asciiTheme="minorHAnsi" w:hAnsiTheme="minorHAnsi" w:cstheme="minorHAnsi"/>
        </w:rPr>
      </w:pPr>
    </w:p>
    <w:p w:rsidR="00933284" w:rsidRPr="00757B21" w:rsidRDefault="00CB4671">
      <w:pPr>
        <w:rPr>
          <w:rFonts w:asciiTheme="minorHAnsi" w:hAnsiTheme="minorHAnsi" w:cstheme="minorHAnsi"/>
        </w:rPr>
      </w:pPr>
      <w:r w:rsidRPr="00757B21">
        <w:rPr>
          <w:rFonts w:asciiTheme="minorHAnsi" w:hAnsiTheme="minorHAnsi" w:cstheme="minorHAnsi"/>
        </w:rPr>
        <w:lastRenderedPageBreak/>
        <w:t xml:space="preserve">Despite </w:t>
      </w:r>
      <w:r w:rsidR="00933284" w:rsidRPr="00757B21">
        <w:rPr>
          <w:rFonts w:asciiTheme="minorHAnsi" w:hAnsiTheme="minorHAnsi" w:cstheme="minorHAnsi"/>
        </w:rPr>
        <w:t>pooling</w:t>
      </w:r>
      <w:r w:rsidRPr="00757B21">
        <w:rPr>
          <w:rFonts w:asciiTheme="minorHAnsi" w:hAnsiTheme="minorHAnsi" w:cstheme="minorHAnsi"/>
        </w:rPr>
        <w:t xml:space="preserve"> six years of estimates, </w:t>
      </w:r>
      <w:r w:rsidR="00AB304E">
        <w:rPr>
          <w:rFonts w:asciiTheme="minorHAnsi" w:hAnsiTheme="minorHAnsi" w:cstheme="minorHAnsi"/>
        </w:rPr>
        <w:t>there were still</w:t>
      </w:r>
      <w:r w:rsidRPr="00757B21">
        <w:rPr>
          <w:rFonts w:asciiTheme="minorHAnsi" w:hAnsiTheme="minorHAnsi" w:cstheme="minorHAnsi"/>
        </w:rPr>
        <w:t xml:space="preserve"> areas where there were very few deaths. These </w:t>
      </w:r>
      <w:r w:rsidR="00AB304E">
        <w:rPr>
          <w:rFonts w:asciiTheme="minorHAnsi" w:hAnsiTheme="minorHAnsi" w:cstheme="minorHAnsi"/>
        </w:rPr>
        <w:t>areas have a high degree of uncertainty around their Life Expectancy estimate and are highlighted in Map 4. They</w:t>
      </w:r>
      <w:r w:rsidRPr="00757B21">
        <w:rPr>
          <w:rFonts w:asciiTheme="minorHAnsi" w:hAnsiTheme="minorHAnsi" w:cstheme="minorHAnsi"/>
        </w:rPr>
        <w:t xml:space="preserve"> are particularly concentrated in rural areas with smaller numbers of residents.</w:t>
      </w:r>
    </w:p>
    <w:p w:rsidR="00CB4671" w:rsidRPr="00757B21" w:rsidRDefault="00CE15F0">
      <w:pPr>
        <w:rPr>
          <w:rFonts w:asciiTheme="minorHAnsi" w:hAnsiTheme="minorHAnsi" w:cstheme="minorHAnsi"/>
        </w:rPr>
      </w:pPr>
      <w:r>
        <w:rPr>
          <w:rFonts w:asciiTheme="minorHAnsi" w:hAnsiTheme="minorHAnsi" w:cstheme="minorHAnsi"/>
          <w:noProof/>
          <w:lang w:eastAsia="en-GB"/>
        </w:rPr>
        <w:drawing>
          <wp:inline distT="0" distB="0" distL="0" distR="0">
            <wp:extent cx="4545331" cy="3308808"/>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3351" cy="3314646"/>
                    </a:xfrm>
                    <a:prstGeom prst="rect">
                      <a:avLst/>
                    </a:prstGeom>
                    <a:noFill/>
                    <a:ln>
                      <a:noFill/>
                    </a:ln>
                  </pic:spPr>
                </pic:pic>
              </a:graphicData>
            </a:graphic>
          </wp:inline>
        </w:drawing>
      </w:r>
    </w:p>
    <w:p w:rsidR="00AB304E" w:rsidRDefault="00CB4671">
      <w:pPr>
        <w:rPr>
          <w:rFonts w:asciiTheme="minorHAnsi" w:hAnsiTheme="minorHAnsi" w:cstheme="minorHAnsi"/>
          <w:b/>
          <w:sz w:val="18"/>
        </w:rPr>
      </w:pPr>
      <w:r w:rsidRPr="00757B21">
        <w:rPr>
          <w:rFonts w:asciiTheme="minorHAnsi" w:hAnsiTheme="minorHAnsi" w:cstheme="minorHAnsi"/>
          <w:b/>
          <w:sz w:val="18"/>
        </w:rPr>
        <w:t xml:space="preserve">Map 4 – Wards </w:t>
      </w:r>
      <w:r w:rsidR="00AC5D99" w:rsidRPr="00757B21">
        <w:rPr>
          <w:rFonts w:asciiTheme="minorHAnsi" w:hAnsiTheme="minorHAnsi" w:cstheme="minorHAnsi"/>
          <w:b/>
          <w:sz w:val="18"/>
        </w:rPr>
        <w:t>where estimates have a</w:t>
      </w:r>
      <w:r w:rsidRPr="00757B21">
        <w:rPr>
          <w:rFonts w:asciiTheme="minorHAnsi" w:hAnsiTheme="minorHAnsi" w:cstheme="minorHAnsi"/>
          <w:b/>
          <w:sz w:val="18"/>
        </w:rPr>
        <w:t xml:space="preserve"> large confidence interval (</w:t>
      </w:r>
      <w:r w:rsidR="00AB304E">
        <w:rPr>
          <w:rFonts w:asciiTheme="minorHAnsi" w:hAnsiTheme="minorHAnsi" w:cstheme="minorHAnsi"/>
          <w:b/>
          <w:sz w:val="18"/>
        </w:rPr>
        <w:t>20</w:t>
      </w:r>
      <w:r w:rsidRPr="00757B21">
        <w:rPr>
          <w:rFonts w:asciiTheme="minorHAnsi" w:hAnsiTheme="minorHAnsi" w:cstheme="minorHAnsi"/>
          <w:b/>
          <w:sz w:val="18"/>
        </w:rPr>
        <w:t>07-12)</w:t>
      </w:r>
    </w:p>
    <w:p w:rsidR="00933284" w:rsidRPr="00757B21" w:rsidRDefault="00933284">
      <w:pPr>
        <w:rPr>
          <w:rFonts w:asciiTheme="minorHAnsi" w:hAnsiTheme="minorHAnsi" w:cstheme="minorHAnsi"/>
        </w:rPr>
      </w:pPr>
      <w:r w:rsidRPr="00757B21">
        <w:rPr>
          <w:rFonts w:asciiTheme="minorHAnsi" w:hAnsiTheme="minorHAnsi" w:cstheme="minorHAnsi"/>
        </w:rPr>
        <w:t>Many wards were also found to be significantl</w:t>
      </w:r>
      <w:r w:rsidR="00AB304E">
        <w:rPr>
          <w:rFonts w:asciiTheme="minorHAnsi" w:hAnsiTheme="minorHAnsi" w:cstheme="minorHAnsi"/>
        </w:rPr>
        <w:t>y different from</w:t>
      </w:r>
      <w:r w:rsidRPr="00757B21">
        <w:rPr>
          <w:rFonts w:asciiTheme="minorHAnsi" w:hAnsiTheme="minorHAnsi" w:cstheme="minorHAnsi"/>
        </w:rPr>
        <w:t xml:space="preserve"> the district in which they are located. These are shown in Map 5.</w:t>
      </w:r>
      <w:r w:rsidR="00CE15F0">
        <w:rPr>
          <w:rFonts w:asciiTheme="minorHAnsi" w:hAnsiTheme="minorHAnsi" w:cstheme="minorHAnsi"/>
          <w:noProof/>
          <w:lang w:eastAsia="en-GB"/>
        </w:rPr>
        <w:drawing>
          <wp:inline distT="0" distB="0" distL="0" distR="0">
            <wp:extent cx="4568324" cy="341507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5433" cy="3427860"/>
                    </a:xfrm>
                    <a:prstGeom prst="rect">
                      <a:avLst/>
                    </a:prstGeom>
                    <a:noFill/>
                    <a:ln>
                      <a:noFill/>
                    </a:ln>
                  </pic:spPr>
                </pic:pic>
              </a:graphicData>
            </a:graphic>
          </wp:inline>
        </w:drawing>
      </w:r>
    </w:p>
    <w:p w:rsidR="00933284" w:rsidRPr="00757B21" w:rsidRDefault="00933284">
      <w:pPr>
        <w:rPr>
          <w:rFonts w:asciiTheme="minorHAnsi" w:hAnsiTheme="minorHAnsi" w:cstheme="minorHAnsi"/>
          <w:b/>
          <w:sz w:val="18"/>
        </w:rPr>
      </w:pPr>
      <w:r w:rsidRPr="00757B21">
        <w:rPr>
          <w:rFonts w:asciiTheme="minorHAnsi" w:hAnsiTheme="minorHAnsi" w:cstheme="minorHAnsi"/>
          <w:b/>
          <w:sz w:val="18"/>
        </w:rPr>
        <w:t>Map 5 – Wards where estimates were significantly higher or lower than their district average (</w:t>
      </w:r>
      <w:r w:rsidR="00AB304E">
        <w:rPr>
          <w:rFonts w:asciiTheme="minorHAnsi" w:hAnsiTheme="minorHAnsi" w:cstheme="minorHAnsi"/>
          <w:b/>
          <w:sz w:val="18"/>
        </w:rPr>
        <w:t>20</w:t>
      </w:r>
      <w:r w:rsidRPr="00757B21">
        <w:rPr>
          <w:rFonts w:asciiTheme="minorHAnsi" w:hAnsiTheme="minorHAnsi" w:cstheme="minorHAnsi"/>
          <w:b/>
          <w:sz w:val="18"/>
        </w:rPr>
        <w:t>07-12)</w:t>
      </w:r>
    </w:p>
    <w:p w:rsidR="001F26B0" w:rsidRPr="00757B21" w:rsidRDefault="001F26B0">
      <w:pPr>
        <w:rPr>
          <w:rFonts w:asciiTheme="minorHAnsi" w:hAnsiTheme="minorHAnsi" w:cstheme="minorHAnsi"/>
          <w:b/>
        </w:rPr>
      </w:pPr>
      <w:r w:rsidRPr="00757B21">
        <w:rPr>
          <w:rFonts w:asciiTheme="minorHAnsi" w:hAnsiTheme="minorHAnsi" w:cstheme="minorHAnsi"/>
          <w:b/>
        </w:rPr>
        <w:lastRenderedPageBreak/>
        <w:t>Determinants of Life Expectancy at a Local Level</w:t>
      </w:r>
    </w:p>
    <w:p w:rsidR="00076197" w:rsidRPr="00757B21" w:rsidRDefault="001F26B0">
      <w:pPr>
        <w:rPr>
          <w:rFonts w:asciiTheme="minorHAnsi" w:hAnsiTheme="minorHAnsi" w:cstheme="minorHAnsi"/>
        </w:rPr>
      </w:pPr>
      <w:r w:rsidRPr="00757B21">
        <w:rPr>
          <w:rFonts w:asciiTheme="minorHAnsi" w:hAnsiTheme="minorHAnsi" w:cstheme="minorHAnsi"/>
        </w:rPr>
        <w:t xml:space="preserve">Regression analysis is a method of determining how the change in one </w:t>
      </w:r>
      <w:r w:rsidR="0014348B" w:rsidRPr="00757B21">
        <w:rPr>
          <w:rFonts w:asciiTheme="minorHAnsi" w:hAnsiTheme="minorHAnsi" w:cstheme="minorHAnsi"/>
        </w:rPr>
        <w:t xml:space="preserve">or more </w:t>
      </w:r>
      <w:r w:rsidRPr="00757B21">
        <w:rPr>
          <w:rFonts w:asciiTheme="minorHAnsi" w:hAnsiTheme="minorHAnsi" w:cstheme="minorHAnsi"/>
        </w:rPr>
        <w:t>variable</w:t>
      </w:r>
      <w:r w:rsidR="0014348B" w:rsidRPr="00757B21">
        <w:rPr>
          <w:rFonts w:asciiTheme="minorHAnsi" w:hAnsiTheme="minorHAnsi" w:cstheme="minorHAnsi"/>
        </w:rPr>
        <w:t>s</w:t>
      </w:r>
      <w:r w:rsidRPr="00757B21">
        <w:rPr>
          <w:rFonts w:asciiTheme="minorHAnsi" w:hAnsiTheme="minorHAnsi" w:cstheme="minorHAnsi"/>
        </w:rPr>
        <w:t xml:space="preserve"> r</w:t>
      </w:r>
      <w:r w:rsidR="0014348B" w:rsidRPr="00757B21">
        <w:rPr>
          <w:rFonts w:asciiTheme="minorHAnsi" w:hAnsiTheme="minorHAnsi" w:cstheme="minorHAnsi"/>
        </w:rPr>
        <w:t xml:space="preserve">elates to the change in another. </w:t>
      </w:r>
      <w:r w:rsidR="00F3035F" w:rsidRPr="00757B21">
        <w:rPr>
          <w:rFonts w:asciiTheme="minorHAnsi" w:hAnsiTheme="minorHAnsi" w:cstheme="minorHAnsi"/>
        </w:rPr>
        <w:t xml:space="preserve">We built several regression models to examine </w:t>
      </w:r>
      <w:r w:rsidR="00653597">
        <w:rPr>
          <w:rFonts w:asciiTheme="minorHAnsi" w:hAnsiTheme="minorHAnsi" w:cstheme="minorHAnsi"/>
        </w:rPr>
        <w:t>how</w:t>
      </w:r>
      <w:r w:rsidR="00F3035F" w:rsidRPr="00757B21">
        <w:rPr>
          <w:rFonts w:asciiTheme="minorHAnsi" w:hAnsiTheme="minorHAnsi" w:cstheme="minorHAnsi"/>
        </w:rPr>
        <w:t xml:space="preserve"> </w:t>
      </w:r>
      <w:r w:rsidR="00467FA9">
        <w:rPr>
          <w:rFonts w:asciiTheme="minorHAnsi" w:hAnsiTheme="minorHAnsi" w:cstheme="minorHAnsi"/>
        </w:rPr>
        <w:t>variables</w:t>
      </w:r>
      <w:r w:rsidR="00F3035F" w:rsidRPr="00757B21">
        <w:rPr>
          <w:rFonts w:asciiTheme="minorHAnsi" w:hAnsiTheme="minorHAnsi" w:cstheme="minorHAnsi"/>
        </w:rPr>
        <w:t xml:space="preserve"> </w:t>
      </w:r>
      <w:r w:rsidR="00467FA9">
        <w:rPr>
          <w:rFonts w:asciiTheme="minorHAnsi" w:hAnsiTheme="minorHAnsi" w:cstheme="minorHAnsi"/>
        </w:rPr>
        <w:t>such as</w:t>
      </w:r>
      <w:r w:rsidR="00F3035F" w:rsidRPr="00757B21">
        <w:rPr>
          <w:rFonts w:asciiTheme="minorHAnsi" w:hAnsiTheme="minorHAnsi" w:cstheme="minorHAnsi"/>
        </w:rPr>
        <w:t xml:space="preserve"> income, poverty, popul</w:t>
      </w:r>
      <w:r w:rsidR="00653597">
        <w:rPr>
          <w:rFonts w:asciiTheme="minorHAnsi" w:hAnsiTheme="minorHAnsi" w:cstheme="minorHAnsi"/>
        </w:rPr>
        <w:t xml:space="preserve">ation composition and </w:t>
      </w:r>
      <w:proofErr w:type="spellStart"/>
      <w:r w:rsidR="00653597">
        <w:rPr>
          <w:rFonts w:asciiTheme="minorHAnsi" w:hAnsiTheme="minorHAnsi" w:cstheme="minorHAnsi"/>
        </w:rPr>
        <w:t>rurality</w:t>
      </w:r>
      <w:proofErr w:type="spellEnd"/>
      <w:r w:rsidR="00653597">
        <w:rPr>
          <w:rFonts w:asciiTheme="minorHAnsi" w:hAnsiTheme="minorHAnsi" w:cstheme="minorHAnsi"/>
        </w:rPr>
        <w:t xml:space="preserve"> were related to</w:t>
      </w:r>
      <w:r w:rsidR="00F3035F" w:rsidRPr="00757B21">
        <w:rPr>
          <w:rFonts w:asciiTheme="minorHAnsi" w:hAnsiTheme="minorHAnsi" w:cstheme="minorHAnsi"/>
        </w:rPr>
        <w:t xml:space="preserve"> ward level life expectancy in </w:t>
      </w:r>
      <w:r w:rsidR="00653597">
        <w:rPr>
          <w:rFonts w:asciiTheme="minorHAnsi" w:hAnsiTheme="minorHAnsi" w:cstheme="minorHAnsi"/>
        </w:rPr>
        <w:t>20</w:t>
      </w:r>
      <w:r w:rsidR="00F3035F" w:rsidRPr="00757B21">
        <w:rPr>
          <w:rFonts w:asciiTheme="minorHAnsi" w:hAnsiTheme="minorHAnsi" w:cstheme="minorHAnsi"/>
        </w:rPr>
        <w:t>07-12.</w:t>
      </w:r>
    </w:p>
    <w:p w:rsidR="00F3035F" w:rsidRPr="00757B21" w:rsidRDefault="00F3035F">
      <w:pPr>
        <w:rPr>
          <w:rFonts w:asciiTheme="minorHAnsi" w:hAnsiTheme="minorHAnsi" w:cstheme="minorHAnsi"/>
        </w:rPr>
      </w:pPr>
      <w:r w:rsidRPr="00757B21">
        <w:rPr>
          <w:rFonts w:asciiTheme="minorHAnsi" w:hAnsiTheme="minorHAnsi" w:cstheme="minorHAnsi"/>
        </w:rPr>
        <w:t xml:space="preserve">Life expectancy was found to be fairly </w:t>
      </w:r>
      <w:r w:rsidR="00B4342C">
        <w:rPr>
          <w:rFonts w:asciiTheme="minorHAnsi" w:hAnsiTheme="minorHAnsi" w:cstheme="minorHAnsi"/>
        </w:rPr>
        <w:t>well correlated</w:t>
      </w:r>
      <w:r w:rsidRPr="00757B21">
        <w:rPr>
          <w:rFonts w:asciiTheme="minorHAnsi" w:hAnsiTheme="minorHAnsi" w:cstheme="minorHAnsi"/>
        </w:rPr>
        <w:t xml:space="preserve"> between the two time periods, with figures in </w:t>
      </w:r>
      <w:r w:rsidR="00467FA9">
        <w:rPr>
          <w:rFonts w:asciiTheme="minorHAnsi" w:hAnsiTheme="minorHAnsi" w:cstheme="minorHAnsi"/>
        </w:rPr>
        <w:t>20</w:t>
      </w:r>
      <w:r w:rsidRPr="00757B21">
        <w:rPr>
          <w:rFonts w:asciiTheme="minorHAnsi" w:hAnsiTheme="minorHAnsi" w:cstheme="minorHAnsi"/>
        </w:rPr>
        <w:t>01-06 explaining about</w:t>
      </w:r>
      <w:r w:rsidR="005C2ACA">
        <w:rPr>
          <w:rFonts w:asciiTheme="minorHAnsi" w:hAnsiTheme="minorHAnsi" w:cstheme="minorHAnsi"/>
        </w:rPr>
        <w:t xml:space="preserve"> 62</w:t>
      </w:r>
      <w:r w:rsidR="00831B20" w:rsidRPr="00757B21">
        <w:rPr>
          <w:rFonts w:asciiTheme="minorHAnsi" w:hAnsiTheme="minorHAnsi" w:cstheme="minorHAnsi"/>
        </w:rPr>
        <w:t xml:space="preserve">% of the variation in </w:t>
      </w:r>
      <w:r w:rsidR="00467FA9">
        <w:rPr>
          <w:rFonts w:asciiTheme="minorHAnsi" w:hAnsiTheme="minorHAnsi" w:cstheme="minorHAnsi"/>
        </w:rPr>
        <w:t>20</w:t>
      </w:r>
      <w:r w:rsidR="00831B20" w:rsidRPr="00757B21">
        <w:rPr>
          <w:rFonts w:asciiTheme="minorHAnsi" w:hAnsiTheme="minorHAnsi" w:cstheme="minorHAnsi"/>
        </w:rPr>
        <w:t>07-12</w:t>
      </w:r>
      <w:r w:rsidR="00C84A2F" w:rsidRPr="00757B21">
        <w:rPr>
          <w:rFonts w:asciiTheme="minorHAnsi" w:hAnsiTheme="minorHAnsi" w:cstheme="minorHAnsi"/>
        </w:rPr>
        <w:t xml:space="preserve"> (p&lt;0.05)</w:t>
      </w:r>
      <w:r w:rsidR="00831B20" w:rsidRPr="00757B21">
        <w:rPr>
          <w:rFonts w:asciiTheme="minorHAnsi" w:hAnsiTheme="minorHAnsi" w:cstheme="minorHAnsi"/>
        </w:rPr>
        <w:t>.</w:t>
      </w:r>
    </w:p>
    <w:p w:rsidR="002A167E" w:rsidRDefault="00831B20">
      <w:pPr>
        <w:rPr>
          <w:rFonts w:asciiTheme="minorHAnsi" w:hAnsiTheme="minorHAnsi" w:cstheme="minorHAnsi"/>
        </w:rPr>
      </w:pPr>
      <w:r w:rsidRPr="00757B21">
        <w:rPr>
          <w:rFonts w:asciiTheme="minorHAnsi" w:hAnsiTheme="minorHAnsi" w:cstheme="minorHAnsi"/>
        </w:rPr>
        <w:t>The relationship between life expectancy and several independent variables was also as</w:t>
      </w:r>
      <w:r w:rsidR="00800E7E" w:rsidRPr="00757B21">
        <w:rPr>
          <w:rFonts w:asciiTheme="minorHAnsi" w:hAnsiTheme="minorHAnsi" w:cstheme="minorHAnsi"/>
        </w:rPr>
        <w:t>sessed with</w:t>
      </w:r>
      <w:r w:rsidR="003F2341" w:rsidRPr="00757B21">
        <w:rPr>
          <w:rFonts w:asciiTheme="minorHAnsi" w:hAnsiTheme="minorHAnsi" w:cstheme="minorHAnsi"/>
        </w:rPr>
        <w:t xml:space="preserve"> older person poverty and proportion of</w:t>
      </w:r>
      <w:r w:rsidRPr="00757B21">
        <w:rPr>
          <w:rFonts w:asciiTheme="minorHAnsi" w:hAnsiTheme="minorHAnsi" w:cstheme="minorHAnsi"/>
        </w:rPr>
        <w:t xml:space="preserve"> population in care homes </w:t>
      </w:r>
      <w:r w:rsidR="00800E7E" w:rsidRPr="00757B21">
        <w:rPr>
          <w:rFonts w:asciiTheme="minorHAnsi" w:hAnsiTheme="minorHAnsi" w:cstheme="minorHAnsi"/>
        </w:rPr>
        <w:t>being</w:t>
      </w:r>
      <w:r w:rsidRPr="00757B21">
        <w:rPr>
          <w:rFonts w:asciiTheme="minorHAnsi" w:hAnsiTheme="minorHAnsi" w:cstheme="minorHAnsi"/>
        </w:rPr>
        <w:t xml:space="preserve"> found to be the best predictors of LE at ward level. </w:t>
      </w:r>
    </w:p>
    <w:tbl>
      <w:tblPr>
        <w:tblW w:w="7518" w:type="dxa"/>
        <w:tblInd w:w="103" w:type="dxa"/>
        <w:tblLook w:val="04A0" w:firstRow="1" w:lastRow="0" w:firstColumn="1" w:lastColumn="0" w:noHBand="0" w:noVBand="1"/>
      </w:tblPr>
      <w:tblGrid>
        <w:gridCol w:w="2982"/>
        <w:gridCol w:w="2410"/>
        <w:gridCol w:w="2126"/>
      </w:tblGrid>
      <w:tr w:rsidR="002A167E" w:rsidRPr="002A167E" w:rsidTr="002A167E">
        <w:trPr>
          <w:trHeight w:val="300"/>
        </w:trPr>
        <w:tc>
          <w:tcPr>
            <w:tcW w:w="2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b/>
                <w:bCs/>
                <w:color w:val="000000"/>
                <w:lang w:eastAsia="en-GB"/>
              </w:rPr>
            </w:pPr>
            <w:r w:rsidRPr="002A167E">
              <w:rPr>
                <w:rFonts w:eastAsia="Times New Roman" w:cs="Calibri"/>
                <w:b/>
                <w:bCs/>
                <w:color w:val="000000"/>
                <w:lang w:eastAsia="en-GB"/>
              </w:rPr>
              <w:t>Assessed Variables</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b/>
                <w:bCs/>
                <w:color w:val="000000"/>
                <w:lang w:eastAsia="en-GB"/>
              </w:rPr>
            </w:pPr>
            <w:r w:rsidRPr="002A167E">
              <w:rPr>
                <w:rFonts w:eastAsia="Times New Roman" w:cs="Calibri"/>
                <w:b/>
                <w:bCs/>
                <w:color w:val="000000"/>
                <w:lang w:eastAsia="en-GB"/>
              </w:rPr>
              <w:t>Source</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b/>
                <w:bCs/>
                <w:color w:val="000000"/>
                <w:lang w:eastAsia="en-GB"/>
              </w:rPr>
            </w:pPr>
            <w:r>
              <w:rPr>
                <w:rFonts w:eastAsia="Times New Roman" w:cs="Calibri"/>
                <w:b/>
                <w:bCs/>
                <w:color w:val="000000"/>
                <w:lang w:eastAsia="en-GB"/>
              </w:rPr>
              <w:t>Result (</w:t>
            </w:r>
            <w:r w:rsidRPr="002A167E">
              <w:rPr>
                <w:rFonts w:eastAsia="Times New Roman" w:cs="Calibri"/>
                <w:b/>
                <w:bCs/>
                <w:color w:val="000000"/>
                <w:lang w:eastAsia="en-GB"/>
              </w:rPr>
              <w:t>Significance</w:t>
            </w:r>
            <w:r>
              <w:rPr>
                <w:rFonts w:eastAsia="Times New Roman" w:cs="Calibri"/>
                <w:b/>
                <w:bCs/>
                <w:color w:val="000000"/>
                <w:lang w:eastAsia="en-GB"/>
              </w:rPr>
              <w:t>)</w:t>
            </w:r>
          </w:p>
        </w:tc>
      </w:tr>
      <w:tr w:rsidR="002A167E" w:rsidRPr="002A167E" w:rsidTr="00CD0249">
        <w:trPr>
          <w:trHeight w:val="300"/>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Older Person Poverty</w:t>
            </w:r>
          </w:p>
        </w:tc>
        <w:tc>
          <w:tcPr>
            <w:tcW w:w="2410" w:type="dxa"/>
            <w:tcBorders>
              <w:top w:val="nil"/>
              <w:left w:val="nil"/>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IMD 2010</w:t>
            </w:r>
          </w:p>
        </w:tc>
        <w:tc>
          <w:tcPr>
            <w:tcW w:w="2126" w:type="dxa"/>
            <w:tcBorders>
              <w:top w:val="nil"/>
              <w:left w:val="nil"/>
              <w:bottom w:val="single" w:sz="4" w:space="0" w:color="auto"/>
              <w:right w:val="single" w:sz="4" w:space="0" w:color="auto"/>
            </w:tcBorders>
            <w:shd w:val="clear" w:color="auto" w:fill="C2D69B" w:themeFill="accent3" w:themeFillTint="99"/>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Significant</w:t>
            </w:r>
          </w:p>
        </w:tc>
      </w:tr>
      <w:tr w:rsidR="002A167E" w:rsidRPr="002A167E" w:rsidTr="00CD0249">
        <w:trPr>
          <w:trHeight w:val="300"/>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Pop in Care Homes</w:t>
            </w:r>
          </w:p>
        </w:tc>
        <w:tc>
          <w:tcPr>
            <w:tcW w:w="2410" w:type="dxa"/>
            <w:tcBorders>
              <w:top w:val="nil"/>
              <w:left w:val="nil"/>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Census 2011</w:t>
            </w:r>
          </w:p>
        </w:tc>
        <w:tc>
          <w:tcPr>
            <w:tcW w:w="2126" w:type="dxa"/>
            <w:tcBorders>
              <w:top w:val="nil"/>
              <w:left w:val="nil"/>
              <w:bottom w:val="single" w:sz="4" w:space="0" w:color="auto"/>
              <w:right w:val="single" w:sz="4" w:space="0" w:color="auto"/>
            </w:tcBorders>
            <w:shd w:val="clear" w:color="auto" w:fill="C2D69B" w:themeFill="accent3" w:themeFillTint="99"/>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Significant</w:t>
            </w:r>
          </w:p>
        </w:tc>
      </w:tr>
      <w:tr w:rsidR="002A167E" w:rsidRPr="002A167E" w:rsidTr="002A167E">
        <w:trPr>
          <w:trHeight w:val="300"/>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proofErr w:type="spellStart"/>
            <w:r w:rsidRPr="002A167E">
              <w:rPr>
                <w:rFonts w:eastAsia="Times New Roman" w:cs="Calibri"/>
                <w:color w:val="000000"/>
                <w:lang w:eastAsia="en-GB"/>
              </w:rPr>
              <w:t>Rurality</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ONS Classification</w:t>
            </w:r>
          </w:p>
        </w:tc>
        <w:tc>
          <w:tcPr>
            <w:tcW w:w="2126" w:type="dxa"/>
            <w:tcBorders>
              <w:top w:val="nil"/>
              <w:left w:val="nil"/>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Not Significant</w:t>
            </w:r>
          </w:p>
        </w:tc>
      </w:tr>
      <w:tr w:rsidR="002A167E" w:rsidRPr="002A167E" w:rsidTr="002A167E">
        <w:trPr>
          <w:trHeight w:val="300"/>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District/Borough</w:t>
            </w:r>
          </w:p>
        </w:tc>
        <w:tc>
          <w:tcPr>
            <w:tcW w:w="2410" w:type="dxa"/>
            <w:tcBorders>
              <w:top w:val="nil"/>
              <w:left w:val="nil"/>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ONS Classification</w:t>
            </w:r>
          </w:p>
        </w:tc>
        <w:tc>
          <w:tcPr>
            <w:tcW w:w="2126" w:type="dxa"/>
            <w:tcBorders>
              <w:top w:val="nil"/>
              <w:left w:val="nil"/>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Not Significant</w:t>
            </w:r>
          </w:p>
        </w:tc>
      </w:tr>
      <w:tr w:rsidR="002A167E" w:rsidRPr="002A167E" w:rsidTr="002A167E">
        <w:trPr>
          <w:trHeight w:val="300"/>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 of population aged 65+</w:t>
            </w:r>
          </w:p>
        </w:tc>
        <w:tc>
          <w:tcPr>
            <w:tcW w:w="2410" w:type="dxa"/>
            <w:tcBorders>
              <w:top w:val="nil"/>
              <w:left w:val="nil"/>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Census 2011</w:t>
            </w:r>
          </w:p>
        </w:tc>
        <w:tc>
          <w:tcPr>
            <w:tcW w:w="2126" w:type="dxa"/>
            <w:tcBorders>
              <w:top w:val="nil"/>
              <w:left w:val="nil"/>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Not Significant</w:t>
            </w:r>
          </w:p>
        </w:tc>
      </w:tr>
      <w:tr w:rsidR="002A167E" w:rsidRPr="002A167E" w:rsidTr="002A167E">
        <w:trPr>
          <w:trHeight w:val="300"/>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LNIA Status</w:t>
            </w:r>
          </w:p>
        </w:tc>
        <w:tc>
          <w:tcPr>
            <w:tcW w:w="2410" w:type="dxa"/>
            <w:tcBorders>
              <w:top w:val="nil"/>
              <w:left w:val="nil"/>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Local Classification</w:t>
            </w:r>
          </w:p>
        </w:tc>
        <w:tc>
          <w:tcPr>
            <w:tcW w:w="2126" w:type="dxa"/>
            <w:tcBorders>
              <w:top w:val="nil"/>
              <w:left w:val="nil"/>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Not Significant</w:t>
            </w:r>
          </w:p>
        </w:tc>
      </w:tr>
      <w:tr w:rsidR="002A167E" w:rsidRPr="002A167E" w:rsidTr="002A167E">
        <w:trPr>
          <w:trHeight w:val="300"/>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Mean Income</w:t>
            </w:r>
          </w:p>
        </w:tc>
        <w:tc>
          <w:tcPr>
            <w:tcW w:w="2410" w:type="dxa"/>
            <w:tcBorders>
              <w:top w:val="nil"/>
              <w:left w:val="nil"/>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CACI Model</w:t>
            </w:r>
          </w:p>
        </w:tc>
        <w:tc>
          <w:tcPr>
            <w:tcW w:w="2126" w:type="dxa"/>
            <w:tcBorders>
              <w:top w:val="nil"/>
              <w:left w:val="nil"/>
              <w:bottom w:val="single" w:sz="4" w:space="0" w:color="auto"/>
              <w:right w:val="single" w:sz="4" w:space="0" w:color="auto"/>
            </w:tcBorders>
            <w:shd w:val="clear" w:color="auto" w:fill="auto"/>
            <w:noWrap/>
            <w:vAlign w:val="bottom"/>
            <w:hideMark/>
          </w:tcPr>
          <w:p w:rsidR="002A167E" w:rsidRPr="002A167E" w:rsidRDefault="002A167E" w:rsidP="002A167E">
            <w:pPr>
              <w:spacing w:after="0" w:line="240" w:lineRule="auto"/>
              <w:rPr>
                <w:rFonts w:eastAsia="Times New Roman" w:cs="Calibri"/>
                <w:color w:val="000000"/>
                <w:lang w:eastAsia="en-GB"/>
              </w:rPr>
            </w:pPr>
            <w:r w:rsidRPr="002A167E">
              <w:rPr>
                <w:rFonts w:eastAsia="Times New Roman" w:cs="Calibri"/>
                <w:color w:val="000000"/>
                <w:lang w:eastAsia="en-GB"/>
              </w:rPr>
              <w:t>Not Significant</w:t>
            </w:r>
          </w:p>
        </w:tc>
      </w:tr>
    </w:tbl>
    <w:p w:rsidR="002A167E" w:rsidRPr="002A167E" w:rsidRDefault="002A167E">
      <w:pPr>
        <w:rPr>
          <w:rFonts w:asciiTheme="minorHAnsi" w:hAnsiTheme="minorHAnsi" w:cstheme="minorHAnsi"/>
          <w:b/>
          <w:sz w:val="20"/>
        </w:rPr>
      </w:pPr>
      <w:r w:rsidRPr="002A167E">
        <w:rPr>
          <w:rFonts w:asciiTheme="minorHAnsi" w:hAnsiTheme="minorHAnsi" w:cstheme="minorHAnsi"/>
          <w:b/>
          <w:sz w:val="20"/>
        </w:rPr>
        <w:t xml:space="preserve">Table 5 – List of Variables Assessed as </w:t>
      </w:r>
      <w:proofErr w:type="gramStart"/>
      <w:r w:rsidRPr="002A167E">
        <w:rPr>
          <w:rFonts w:asciiTheme="minorHAnsi" w:hAnsiTheme="minorHAnsi" w:cstheme="minorHAnsi"/>
          <w:b/>
          <w:sz w:val="20"/>
        </w:rPr>
        <w:t>Potentially</w:t>
      </w:r>
      <w:proofErr w:type="gramEnd"/>
      <w:r w:rsidRPr="002A167E">
        <w:rPr>
          <w:rFonts w:asciiTheme="minorHAnsi" w:hAnsiTheme="minorHAnsi" w:cstheme="minorHAnsi"/>
          <w:b/>
          <w:sz w:val="20"/>
        </w:rPr>
        <w:t xml:space="preserve"> related to Ward Level Life Expectancy (2007-2012)</w:t>
      </w:r>
    </w:p>
    <w:p w:rsidR="002A167E" w:rsidRDefault="009E659F">
      <w:pPr>
        <w:rPr>
          <w:rFonts w:asciiTheme="minorHAnsi" w:hAnsiTheme="minorHAnsi" w:cstheme="minorHAnsi"/>
        </w:rPr>
      </w:pPr>
      <w:r w:rsidRPr="00757B21">
        <w:rPr>
          <w:rFonts w:asciiTheme="minorHAnsi" w:hAnsiTheme="minorHAnsi" w:cstheme="minorHAnsi"/>
        </w:rPr>
        <w:t>After adjustment for these variables</w:t>
      </w:r>
      <w:r w:rsidR="00FE391D" w:rsidRPr="00757B21">
        <w:rPr>
          <w:rFonts w:asciiTheme="minorHAnsi" w:hAnsiTheme="minorHAnsi" w:cstheme="minorHAnsi"/>
        </w:rPr>
        <w:t>,</w:t>
      </w:r>
      <w:r w:rsidRPr="00757B21">
        <w:rPr>
          <w:rFonts w:asciiTheme="minorHAnsi" w:hAnsiTheme="minorHAnsi" w:cstheme="minorHAnsi"/>
        </w:rPr>
        <w:t xml:space="preserve"> </w:t>
      </w:r>
      <w:proofErr w:type="spellStart"/>
      <w:r w:rsidRPr="00757B21">
        <w:rPr>
          <w:rFonts w:asciiTheme="minorHAnsi" w:hAnsiTheme="minorHAnsi" w:cstheme="minorHAnsi"/>
        </w:rPr>
        <w:t>r</w:t>
      </w:r>
      <w:r w:rsidR="00831B20" w:rsidRPr="00757B21">
        <w:rPr>
          <w:rFonts w:asciiTheme="minorHAnsi" w:hAnsiTheme="minorHAnsi" w:cstheme="minorHAnsi"/>
        </w:rPr>
        <w:t>urality</w:t>
      </w:r>
      <w:proofErr w:type="spellEnd"/>
      <w:r w:rsidR="00831B20" w:rsidRPr="00757B21">
        <w:rPr>
          <w:rFonts w:asciiTheme="minorHAnsi" w:hAnsiTheme="minorHAnsi" w:cstheme="minorHAnsi"/>
        </w:rPr>
        <w:t xml:space="preserve">, district, </w:t>
      </w:r>
      <w:r w:rsidRPr="00757B21">
        <w:rPr>
          <w:rFonts w:asciiTheme="minorHAnsi" w:hAnsiTheme="minorHAnsi" w:cstheme="minorHAnsi"/>
        </w:rPr>
        <w:t>population structure, L</w:t>
      </w:r>
      <w:r w:rsidR="00E70363">
        <w:rPr>
          <w:rFonts w:asciiTheme="minorHAnsi" w:hAnsiTheme="minorHAnsi" w:cstheme="minorHAnsi"/>
        </w:rPr>
        <w:t xml:space="preserve">ocal </w:t>
      </w:r>
      <w:r w:rsidRPr="00757B21">
        <w:rPr>
          <w:rFonts w:asciiTheme="minorHAnsi" w:hAnsiTheme="minorHAnsi" w:cstheme="minorHAnsi"/>
        </w:rPr>
        <w:t>N</w:t>
      </w:r>
      <w:r w:rsidR="00E70363">
        <w:rPr>
          <w:rFonts w:asciiTheme="minorHAnsi" w:hAnsiTheme="minorHAnsi" w:cstheme="minorHAnsi"/>
        </w:rPr>
        <w:t>eighbourhood Improvement Area (LNIA)</w:t>
      </w:r>
      <w:r w:rsidRPr="00757B21">
        <w:rPr>
          <w:rFonts w:asciiTheme="minorHAnsi" w:hAnsiTheme="minorHAnsi" w:cstheme="minorHAnsi"/>
        </w:rPr>
        <w:t xml:space="preserve"> status </w:t>
      </w:r>
      <w:r w:rsidR="00831B20" w:rsidRPr="00757B21">
        <w:rPr>
          <w:rFonts w:asciiTheme="minorHAnsi" w:hAnsiTheme="minorHAnsi" w:cstheme="minorHAnsi"/>
        </w:rPr>
        <w:t>and m</w:t>
      </w:r>
      <w:r w:rsidR="002A167E">
        <w:rPr>
          <w:rFonts w:asciiTheme="minorHAnsi" w:hAnsiTheme="minorHAnsi" w:cstheme="minorHAnsi"/>
        </w:rPr>
        <w:t>ean income</w:t>
      </w:r>
      <w:r w:rsidR="0024626D">
        <w:rPr>
          <w:rFonts w:asciiTheme="minorHAnsi" w:hAnsiTheme="minorHAnsi" w:cstheme="minorHAnsi"/>
        </w:rPr>
        <w:t xml:space="preserve"> </w:t>
      </w:r>
      <w:r w:rsidRPr="00757B21">
        <w:rPr>
          <w:rFonts w:asciiTheme="minorHAnsi" w:hAnsiTheme="minorHAnsi" w:cstheme="minorHAnsi"/>
        </w:rPr>
        <w:t>were not significant (the effect of these last two being better explained by older person poverty)</w:t>
      </w:r>
      <w:r w:rsidR="00800E7E" w:rsidRPr="00757B21">
        <w:rPr>
          <w:rStyle w:val="FootnoteReference"/>
          <w:rFonts w:asciiTheme="minorHAnsi" w:hAnsiTheme="minorHAnsi" w:cstheme="minorHAnsi"/>
        </w:rPr>
        <w:footnoteReference w:id="11"/>
      </w:r>
      <w:r w:rsidRPr="00757B21">
        <w:rPr>
          <w:rFonts w:asciiTheme="minorHAnsi" w:hAnsiTheme="minorHAnsi" w:cstheme="minorHAnsi"/>
        </w:rPr>
        <w:t>.</w:t>
      </w:r>
      <w:r w:rsidR="000C008D" w:rsidRPr="00757B21">
        <w:rPr>
          <w:rFonts w:asciiTheme="minorHAnsi" w:hAnsiTheme="minorHAnsi" w:cstheme="minorHAnsi"/>
        </w:rPr>
        <w:t xml:space="preserve"> </w:t>
      </w:r>
    </w:p>
    <w:p w:rsidR="00831B20" w:rsidRPr="00757B21" w:rsidRDefault="002B2653">
      <w:pPr>
        <w:rPr>
          <w:rFonts w:asciiTheme="minorHAnsi" w:hAnsiTheme="minorHAnsi" w:cstheme="minorHAnsi"/>
        </w:rPr>
      </w:pPr>
      <w:r>
        <w:rPr>
          <w:rFonts w:asciiTheme="minorHAnsi" w:hAnsiTheme="minorHAnsi" w:cstheme="minorHAnsi"/>
        </w:rPr>
        <w:t>A 5</w:t>
      </w:r>
      <w:r w:rsidR="000C008D" w:rsidRPr="00757B21">
        <w:rPr>
          <w:rFonts w:asciiTheme="minorHAnsi" w:hAnsiTheme="minorHAnsi" w:cstheme="minorHAnsi"/>
        </w:rPr>
        <w:t xml:space="preserve">% increase in older people living in care homes </w:t>
      </w:r>
      <w:r w:rsidR="002F2D86">
        <w:rPr>
          <w:rFonts w:asciiTheme="minorHAnsi" w:hAnsiTheme="minorHAnsi" w:cstheme="minorHAnsi"/>
        </w:rPr>
        <w:t xml:space="preserve">(Census 2011) </w:t>
      </w:r>
      <w:r w:rsidR="000C008D" w:rsidRPr="00757B21">
        <w:rPr>
          <w:rFonts w:asciiTheme="minorHAnsi" w:hAnsiTheme="minorHAnsi" w:cstheme="minorHAnsi"/>
        </w:rPr>
        <w:t>was associated with a 1 year drop in ward level life expectancy</w:t>
      </w:r>
      <w:r w:rsidR="00C84A2F" w:rsidRPr="00757B21">
        <w:rPr>
          <w:rFonts w:asciiTheme="minorHAnsi" w:hAnsiTheme="minorHAnsi" w:cstheme="minorHAnsi"/>
        </w:rPr>
        <w:t xml:space="preserve"> (p &lt;0.05)</w:t>
      </w:r>
      <w:r>
        <w:rPr>
          <w:rFonts w:asciiTheme="minorHAnsi" w:hAnsiTheme="minorHAnsi" w:cstheme="minorHAnsi"/>
        </w:rPr>
        <w:t>. Similarly a 5</w:t>
      </w:r>
      <w:r w:rsidR="000C008D" w:rsidRPr="00757B21">
        <w:rPr>
          <w:rFonts w:asciiTheme="minorHAnsi" w:hAnsiTheme="minorHAnsi" w:cstheme="minorHAnsi"/>
        </w:rPr>
        <w:t xml:space="preserve">% rise in older person poverty </w:t>
      </w:r>
      <w:r w:rsidR="002F2D86">
        <w:rPr>
          <w:rFonts w:asciiTheme="minorHAnsi" w:hAnsiTheme="minorHAnsi" w:cstheme="minorHAnsi"/>
        </w:rPr>
        <w:t xml:space="preserve">(IMD data relating to 2008) </w:t>
      </w:r>
      <w:r w:rsidR="003F2341" w:rsidRPr="00757B21">
        <w:rPr>
          <w:rFonts w:asciiTheme="minorHAnsi" w:hAnsiTheme="minorHAnsi" w:cstheme="minorHAnsi"/>
        </w:rPr>
        <w:t>was</w:t>
      </w:r>
      <w:r w:rsidR="000C008D" w:rsidRPr="00757B21">
        <w:rPr>
          <w:rFonts w:asciiTheme="minorHAnsi" w:hAnsiTheme="minorHAnsi" w:cstheme="minorHAnsi"/>
        </w:rPr>
        <w:t xml:space="preserve"> also associated with a 1 year drop in life expectancy</w:t>
      </w:r>
      <w:r w:rsidR="00C84A2F" w:rsidRPr="00757B21">
        <w:rPr>
          <w:rFonts w:asciiTheme="minorHAnsi" w:hAnsiTheme="minorHAnsi" w:cstheme="minorHAnsi"/>
        </w:rPr>
        <w:t xml:space="preserve"> (p &lt; 0.05)</w:t>
      </w:r>
      <w:r w:rsidR="000C008D" w:rsidRPr="00757B21">
        <w:rPr>
          <w:rFonts w:asciiTheme="minorHAnsi" w:hAnsiTheme="minorHAnsi" w:cstheme="minorHAnsi"/>
        </w:rPr>
        <w:t xml:space="preserve">. </w:t>
      </w:r>
    </w:p>
    <w:p w:rsidR="00171C0F" w:rsidRDefault="00171C0F">
      <w:pPr>
        <w:rPr>
          <w:rFonts w:asciiTheme="minorHAnsi" w:hAnsiTheme="minorHAnsi" w:cstheme="minorHAnsi"/>
        </w:rPr>
      </w:pPr>
      <w:r w:rsidRPr="00757B21">
        <w:rPr>
          <w:rFonts w:asciiTheme="minorHAnsi" w:hAnsiTheme="minorHAnsi" w:cstheme="minorHAnsi"/>
        </w:rPr>
        <w:t>O</w:t>
      </w:r>
      <w:r w:rsidR="00800E7E" w:rsidRPr="00757B21">
        <w:rPr>
          <w:rFonts w:asciiTheme="minorHAnsi" w:hAnsiTheme="minorHAnsi" w:cstheme="minorHAnsi"/>
        </w:rPr>
        <w:t>verall population in care homes and</w:t>
      </w:r>
      <w:r w:rsidRPr="00757B21">
        <w:rPr>
          <w:rFonts w:asciiTheme="minorHAnsi" w:hAnsiTheme="minorHAnsi" w:cstheme="minorHAnsi"/>
        </w:rPr>
        <w:t xml:space="preserve"> older person poverty </w:t>
      </w:r>
      <w:r w:rsidR="00800E7E" w:rsidRPr="00757B21">
        <w:rPr>
          <w:rFonts w:asciiTheme="minorHAnsi" w:hAnsiTheme="minorHAnsi" w:cstheme="minorHAnsi"/>
        </w:rPr>
        <w:t>were found to explain 70</w:t>
      </w:r>
      <w:r w:rsidRPr="00757B21">
        <w:rPr>
          <w:rFonts w:asciiTheme="minorHAnsi" w:hAnsiTheme="minorHAnsi" w:cstheme="minorHAnsi"/>
        </w:rPr>
        <w:t xml:space="preserve">% of the variation in life expectancy between </w:t>
      </w:r>
      <w:r w:rsidR="00A00F54">
        <w:rPr>
          <w:rFonts w:asciiTheme="minorHAnsi" w:hAnsiTheme="minorHAnsi" w:cstheme="minorHAnsi"/>
        </w:rPr>
        <w:t>wards in 20</w:t>
      </w:r>
      <w:r w:rsidRPr="00757B21">
        <w:rPr>
          <w:rFonts w:asciiTheme="minorHAnsi" w:hAnsiTheme="minorHAnsi" w:cstheme="minorHAnsi"/>
        </w:rPr>
        <w:t>07-1</w:t>
      </w:r>
      <w:r w:rsidR="00800E7E" w:rsidRPr="00757B21">
        <w:rPr>
          <w:rFonts w:asciiTheme="minorHAnsi" w:hAnsiTheme="minorHAnsi" w:cstheme="minorHAnsi"/>
        </w:rPr>
        <w:t>2 (p&lt;0.05). This increased to 76</w:t>
      </w:r>
      <w:r w:rsidRPr="00757B21">
        <w:rPr>
          <w:rFonts w:asciiTheme="minorHAnsi" w:hAnsiTheme="minorHAnsi" w:cstheme="minorHAnsi"/>
        </w:rPr>
        <w:t xml:space="preserve">% if wards with higher uncertainty around the LE estimate </w:t>
      </w:r>
      <w:r w:rsidR="00A00F54">
        <w:rPr>
          <w:rFonts w:asciiTheme="minorHAnsi" w:hAnsiTheme="minorHAnsi" w:cstheme="minorHAnsi"/>
        </w:rPr>
        <w:t xml:space="preserve">(SE&lt;1) </w:t>
      </w:r>
      <w:r w:rsidRPr="00757B21">
        <w:rPr>
          <w:rFonts w:asciiTheme="minorHAnsi" w:hAnsiTheme="minorHAnsi" w:cstheme="minorHAnsi"/>
        </w:rPr>
        <w:t>were excluded</w:t>
      </w:r>
      <w:r w:rsidR="008D2ABA" w:rsidRPr="00757B21">
        <w:rPr>
          <w:rStyle w:val="FootnoteReference"/>
          <w:rFonts w:asciiTheme="minorHAnsi" w:hAnsiTheme="minorHAnsi" w:cstheme="minorHAnsi"/>
        </w:rPr>
        <w:footnoteReference w:id="12"/>
      </w:r>
      <w:r w:rsidRPr="00757B21">
        <w:rPr>
          <w:rFonts w:asciiTheme="minorHAnsi" w:hAnsiTheme="minorHAnsi" w:cstheme="minorHAnsi"/>
        </w:rPr>
        <w:t xml:space="preserve"> and </w:t>
      </w:r>
      <w:proofErr w:type="spellStart"/>
      <w:r w:rsidR="00A00F54" w:rsidRPr="00757B21">
        <w:rPr>
          <w:rFonts w:asciiTheme="minorHAnsi" w:hAnsiTheme="minorHAnsi" w:cstheme="minorHAnsi"/>
        </w:rPr>
        <w:t>rurality</w:t>
      </w:r>
      <w:proofErr w:type="spellEnd"/>
      <w:r w:rsidR="00A00F54" w:rsidRPr="00757B21">
        <w:rPr>
          <w:rFonts w:asciiTheme="minorHAnsi" w:hAnsiTheme="minorHAnsi" w:cstheme="minorHAnsi"/>
        </w:rPr>
        <w:t xml:space="preserve">, district, population structure, LNIA status and mean income </w:t>
      </w:r>
      <w:r w:rsidRPr="00757B21">
        <w:rPr>
          <w:rFonts w:asciiTheme="minorHAnsi" w:hAnsiTheme="minorHAnsi" w:cstheme="minorHAnsi"/>
        </w:rPr>
        <w:t>remained insignificant (p&gt;0.05).</w:t>
      </w:r>
    </w:p>
    <w:p w:rsidR="00AA7B3D" w:rsidRPr="00757B21" w:rsidRDefault="00CB301C">
      <w:pPr>
        <w:rPr>
          <w:rFonts w:asciiTheme="minorHAnsi" w:hAnsiTheme="minorHAnsi" w:cstheme="minorHAnsi"/>
        </w:rPr>
      </w:pPr>
      <w:r>
        <w:rPr>
          <w:rFonts w:asciiTheme="minorHAnsi" w:hAnsiTheme="minorHAnsi" w:cstheme="minorHAnsi"/>
        </w:rPr>
        <w:t>The relationship between o</w:t>
      </w:r>
      <w:r w:rsidR="00AA7B3D">
        <w:rPr>
          <w:rFonts w:asciiTheme="minorHAnsi" w:hAnsiTheme="minorHAnsi" w:cstheme="minorHAnsi"/>
        </w:rPr>
        <w:t xml:space="preserve">lder person poverty (IMD </w:t>
      </w:r>
      <w:r w:rsidR="002F2D86">
        <w:rPr>
          <w:rFonts w:asciiTheme="minorHAnsi" w:hAnsiTheme="minorHAnsi" w:cstheme="minorHAnsi"/>
        </w:rPr>
        <w:t>data relating to 2001</w:t>
      </w:r>
      <w:r>
        <w:rPr>
          <w:rFonts w:asciiTheme="minorHAnsi" w:hAnsiTheme="minorHAnsi" w:cstheme="minorHAnsi"/>
        </w:rPr>
        <w:t>) and</w:t>
      </w:r>
      <w:r w:rsidR="00AA7B3D">
        <w:rPr>
          <w:rFonts w:asciiTheme="minorHAnsi" w:hAnsiTheme="minorHAnsi" w:cstheme="minorHAnsi"/>
        </w:rPr>
        <w:t xml:space="preserve"> ward level LE for the whole of England for the period (1999-2003)</w:t>
      </w:r>
      <w:r>
        <w:rPr>
          <w:rFonts w:asciiTheme="minorHAnsi" w:hAnsiTheme="minorHAnsi" w:cstheme="minorHAnsi"/>
        </w:rPr>
        <w:t xml:space="preserve"> was also examined</w:t>
      </w:r>
      <w:r w:rsidR="00AA7B3D">
        <w:rPr>
          <w:rFonts w:asciiTheme="minorHAnsi" w:hAnsiTheme="minorHAnsi" w:cstheme="minorHAnsi"/>
        </w:rPr>
        <w:t xml:space="preserve"> and similarly</w:t>
      </w:r>
      <w:r>
        <w:rPr>
          <w:rFonts w:asciiTheme="minorHAnsi" w:hAnsiTheme="minorHAnsi" w:cstheme="minorHAnsi"/>
        </w:rPr>
        <w:t>,</w:t>
      </w:r>
      <w:r w:rsidR="00AA7B3D">
        <w:rPr>
          <w:rFonts w:asciiTheme="minorHAnsi" w:hAnsiTheme="minorHAnsi" w:cstheme="minorHAnsi"/>
        </w:rPr>
        <w:t xml:space="preserve"> a 4% rise </w:t>
      </w:r>
      <w:r w:rsidR="00E70363">
        <w:rPr>
          <w:rFonts w:asciiTheme="minorHAnsi" w:hAnsiTheme="minorHAnsi" w:cstheme="minorHAnsi"/>
        </w:rPr>
        <w:t xml:space="preserve">in older person poverty </w:t>
      </w:r>
      <w:r w:rsidR="00AA7B3D">
        <w:rPr>
          <w:rFonts w:asciiTheme="minorHAnsi" w:hAnsiTheme="minorHAnsi" w:cstheme="minorHAnsi"/>
        </w:rPr>
        <w:t xml:space="preserve">was found to be associated with a 1 year drop in LE after adjustment for care home population </w:t>
      </w:r>
      <w:r w:rsidR="002F2D86">
        <w:rPr>
          <w:rFonts w:asciiTheme="minorHAnsi" w:hAnsiTheme="minorHAnsi" w:cstheme="minorHAnsi"/>
        </w:rPr>
        <w:t xml:space="preserve">(Census 2001) </w:t>
      </w:r>
      <w:r w:rsidR="00AA7B3D">
        <w:rPr>
          <w:rFonts w:asciiTheme="minorHAnsi" w:hAnsiTheme="minorHAnsi" w:cstheme="minorHAnsi"/>
        </w:rPr>
        <w:t>(p&lt;0.05).</w:t>
      </w:r>
    </w:p>
    <w:sectPr w:rsidR="00AA7B3D" w:rsidRPr="00757B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363" w:rsidRDefault="00E70363" w:rsidP="00161B76">
      <w:pPr>
        <w:spacing w:after="0" w:line="240" w:lineRule="auto"/>
      </w:pPr>
      <w:r>
        <w:separator/>
      </w:r>
    </w:p>
  </w:endnote>
  <w:endnote w:type="continuationSeparator" w:id="0">
    <w:p w:rsidR="00E70363" w:rsidRDefault="00E70363" w:rsidP="0016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363" w:rsidRDefault="00E70363" w:rsidP="00161B76">
      <w:pPr>
        <w:spacing w:after="0" w:line="240" w:lineRule="auto"/>
      </w:pPr>
      <w:r>
        <w:separator/>
      </w:r>
    </w:p>
  </w:footnote>
  <w:footnote w:type="continuationSeparator" w:id="0">
    <w:p w:rsidR="00E70363" w:rsidRDefault="00E70363" w:rsidP="00161B76">
      <w:pPr>
        <w:spacing w:after="0" w:line="240" w:lineRule="auto"/>
      </w:pPr>
      <w:r>
        <w:continuationSeparator/>
      </w:r>
    </w:p>
  </w:footnote>
  <w:footnote w:id="1">
    <w:p w:rsidR="00E70363" w:rsidRDefault="00E70363">
      <w:pPr>
        <w:pStyle w:val="FootnoteText"/>
      </w:pPr>
      <w:r>
        <w:rPr>
          <w:rStyle w:val="FootnoteReference"/>
        </w:rPr>
        <w:footnoteRef/>
      </w:r>
      <w:r>
        <w:t xml:space="preserve"> A ‘life table’ method – suitability discussed in Williams et al 2005 - </w:t>
      </w:r>
      <w:hyperlink r:id="rId1" w:history="1">
        <w:r w:rsidRPr="002E34F5">
          <w:rPr>
            <w:rStyle w:val="Hyperlink"/>
          </w:rPr>
          <w:t>http://www.sepho.org.uk/viewResource.aspx?id=9847</w:t>
        </w:r>
      </w:hyperlink>
      <w:r>
        <w:t xml:space="preserve"> </w:t>
      </w:r>
    </w:p>
  </w:footnote>
  <w:footnote w:id="2">
    <w:p w:rsidR="00E70363" w:rsidRDefault="00E70363">
      <w:pPr>
        <w:pStyle w:val="FootnoteText"/>
      </w:pPr>
      <w:r>
        <w:rPr>
          <w:rStyle w:val="FootnoteReference"/>
        </w:rPr>
        <w:footnoteRef/>
      </w:r>
      <w:r>
        <w:t xml:space="preserve"> ONS data available at time of this publication – </w:t>
      </w:r>
      <w:hyperlink r:id="rId2" w:history="1">
        <w:r w:rsidRPr="009F2FBE">
          <w:rPr>
            <w:rStyle w:val="Hyperlink"/>
          </w:rPr>
          <w:t>2001</w:t>
        </w:r>
      </w:hyperlink>
      <w:r>
        <w:t xml:space="preserve">, </w:t>
      </w:r>
      <w:hyperlink r:id="rId3" w:history="1">
        <w:r w:rsidRPr="009F2FBE">
          <w:rPr>
            <w:rStyle w:val="Hyperlink"/>
          </w:rPr>
          <w:t>2002-2010</w:t>
        </w:r>
      </w:hyperlink>
      <w:r>
        <w:t xml:space="preserve">, </w:t>
      </w:r>
      <w:hyperlink r:id="rId4" w:history="1">
        <w:r w:rsidRPr="009F2FBE">
          <w:rPr>
            <w:rStyle w:val="Hyperlink"/>
          </w:rPr>
          <w:t>2011</w:t>
        </w:r>
      </w:hyperlink>
      <w:r>
        <w:t xml:space="preserve"> and </w:t>
      </w:r>
      <w:hyperlink r:id="rId5" w:history="1">
        <w:r w:rsidRPr="009F2FBE">
          <w:rPr>
            <w:rStyle w:val="Hyperlink"/>
          </w:rPr>
          <w:t>2012</w:t>
        </w:r>
      </w:hyperlink>
    </w:p>
  </w:footnote>
  <w:footnote w:id="3">
    <w:p w:rsidR="00E70363" w:rsidRDefault="00E70363">
      <w:pPr>
        <w:pStyle w:val="FootnoteText"/>
      </w:pPr>
      <w:r>
        <w:rPr>
          <w:rStyle w:val="FootnoteReference"/>
        </w:rPr>
        <w:footnoteRef/>
      </w:r>
      <w:r>
        <w:t xml:space="preserve"> A note on validation – our data for 2009-2011 are very similar to those published by </w:t>
      </w:r>
      <w:r w:rsidRPr="002735C8">
        <w:t>Public Health England for 2009-2011</w:t>
      </w:r>
      <w:r>
        <w:t xml:space="preserve"> </w:t>
      </w:r>
      <w:hyperlink r:id="rId6" w:history="1">
        <w:r w:rsidRPr="00744F87">
          <w:rPr>
            <w:rStyle w:val="Hyperlink"/>
          </w:rPr>
          <w:t>http://www.lho.org.uk/LHO_Topics/Analytic_Tools/Segment/Documents/LA_E10000032.pdf</w:t>
        </w:r>
      </w:hyperlink>
    </w:p>
  </w:footnote>
  <w:footnote w:id="4">
    <w:p w:rsidR="00E70363" w:rsidRDefault="00E70363">
      <w:pPr>
        <w:pStyle w:val="FootnoteText"/>
      </w:pPr>
      <w:r>
        <w:rPr>
          <w:rStyle w:val="FootnoteReference"/>
        </w:rPr>
        <w:footnoteRef/>
      </w:r>
      <w:r>
        <w:t xml:space="preserve"> </w:t>
      </w:r>
      <w:r w:rsidRPr="00171C0F">
        <w:rPr>
          <w:i/>
        </w:rPr>
        <w:t>Fair Society Healthy Lives</w:t>
      </w:r>
      <w:r>
        <w:t xml:space="preserve"> Marmot et al 2010</w:t>
      </w:r>
    </w:p>
  </w:footnote>
  <w:footnote w:id="5">
    <w:p w:rsidR="00E70363" w:rsidRDefault="00E70363">
      <w:pPr>
        <w:pStyle w:val="FootnoteText"/>
      </w:pPr>
      <w:r>
        <w:rPr>
          <w:rStyle w:val="FootnoteReference"/>
        </w:rPr>
        <w:footnoteRef/>
      </w:r>
      <w:r>
        <w:t xml:space="preserve"> Calculated from Index of Multiple Deprivation data</w:t>
      </w:r>
    </w:p>
  </w:footnote>
  <w:footnote w:id="6">
    <w:p w:rsidR="00E70363" w:rsidRDefault="00E70363">
      <w:pPr>
        <w:pStyle w:val="FootnoteText"/>
      </w:pPr>
      <w:r>
        <w:rPr>
          <w:rStyle w:val="FootnoteReference"/>
        </w:rPr>
        <w:footnoteRef/>
      </w:r>
      <w:r>
        <w:t xml:space="preserve"> APHO Health Profiles </w:t>
      </w:r>
      <w:hyperlink r:id="rId7" w:history="1">
        <w:r w:rsidRPr="00267257">
          <w:rPr>
            <w:rStyle w:val="Hyperlink"/>
          </w:rPr>
          <w:t>http://www.apho.org.uk/default.aspx?QN=P_HEALTH_PROFILES</w:t>
        </w:r>
      </w:hyperlink>
    </w:p>
  </w:footnote>
  <w:footnote w:id="7">
    <w:p w:rsidR="00E70363" w:rsidRDefault="00E70363">
      <w:pPr>
        <w:pStyle w:val="FootnoteText"/>
      </w:pPr>
      <w:r>
        <w:rPr>
          <w:rStyle w:val="FootnoteReference"/>
        </w:rPr>
        <w:footnoteRef/>
      </w:r>
      <w:r>
        <w:t xml:space="preserve"> Statistical Note – modelling gradient change is complex. Use of typical OLS regression results in significance being highly biased by number of data points. It was decided to test the significance of the gradient change by calculating confidence intervals from 1000 resampled values for LE at each </w:t>
      </w:r>
      <w:proofErr w:type="spellStart"/>
      <w:r>
        <w:t>decile</w:t>
      </w:r>
      <w:proofErr w:type="spellEnd"/>
      <w:r>
        <w:t xml:space="preserve"> in each time period. For more information contact </w:t>
      </w:r>
      <w:hyperlink r:id="rId8" w:history="1">
        <w:r w:rsidRPr="000108BB">
          <w:rPr>
            <w:rStyle w:val="Hyperlink"/>
          </w:rPr>
          <w:t>JSNA@westsussex.gov.uk</w:t>
        </w:r>
      </w:hyperlink>
      <w:r>
        <w:t xml:space="preserve"> </w:t>
      </w:r>
    </w:p>
  </w:footnote>
  <w:footnote w:id="8">
    <w:p w:rsidR="00E70363" w:rsidRDefault="00E70363">
      <w:pPr>
        <w:pStyle w:val="FootnoteText"/>
      </w:pPr>
      <w:r>
        <w:rPr>
          <w:rStyle w:val="FootnoteReference"/>
        </w:rPr>
        <w:footnoteRef/>
      </w:r>
      <w:r>
        <w:t xml:space="preserve"> </w:t>
      </w:r>
      <w:hyperlink r:id="rId9" w:history="1">
        <w:r w:rsidRPr="002840FB">
          <w:rPr>
            <w:rStyle w:val="Hyperlink"/>
          </w:rPr>
          <w:t>West Sussex Health Inequalities Strategy</w:t>
        </w:r>
      </w:hyperlink>
    </w:p>
  </w:footnote>
  <w:footnote w:id="9">
    <w:p w:rsidR="00E70363" w:rsidRDefault="00E70363">
      <w:pPr>
        <w:pStyle w:val="FootnoteText"/>
      </w:pPr>
      <w:r>
        <w:rPr>
          <w:rStyle w:val="FootnoteReference"/>
        </w:rPr>
        <w:footnoteRef/>
      </w:r>
      <w:r>
        <w:t xml:space="preserve"> West Sussex Ward Profiles 2013 - </w:t>
      </w:r>
      <w:hyperlink r:id="rId10" w:history="1">
        <w:r w:rsidRPr="002840FB">
          <w:rPr>
            <w:rStyle w:val="Hyperlink"/>
          </w:rPr>
          <w:t>http://jsna.westsussex.gov.uk/JSNA-Profiles</w:t>
        </w:r>
      </w:hyperlink>
    </w:p>
  </w:footnote>
  <w:footnote w:id="10">
    <w:p w:rsidR="00E70363" w:rsidRDefault="00E70363">
      <w:pPr>
        <w:pStyle w:val="FootnoteText"/>
      </w:pPr>
      <w:r>
        <w:rPr>
          <w:rStyle w:val="FootnoteReference"/>
        </w:rPr>
        <w:footnoteRef/>
      </w:r>
      <w:r>
        <w:t xml:space="preserve"> Standard Error greater than 1 chosen as a largely arbitrary cut off after visual examination of the data</w:t>
      </w:r>
    </w:p>
  </w:footnote>
  <w:footnote w:id="11">
    <w:p w:rsidR="00E70363" w:rsidRDefault="00E70363">
      <w:pPr>
        <w:pStyle w:val="FootnoteText"/>
      </w:pPr>
      <w:r>
        <w:rPr>
          <w:rStyle w:val="FootnoteReference"/>
        </w:rPr>
        <w:footnoteRef/>
      </w:r>
      <w:r>
        <w:t xml:space="preserve"> Statistical note - Various modelling methods were used to examine the relationship between LE and the independent variables including GLM with various links and OLS/GLM with log transformed variables and interaction terms. No methods yielded significantly more information than a standard OLS, however (assessed by Bayesian Information Criterion).</w:t>
      </w:r>
    </w:p>
  </w:footnote>
  <w:footnote w:id="12">
    <w:p w:rsidR="00E70363" w:rsidRDefault="00E70363">
      <w:pPr>
        <w:pStyle w:val="FootnoteText"/>
      </w:pPr>
      <w:r>
        <w:rPr>
          <w:rStyle w:val="FootnoteReference"/>
        </w:rPr>
        <w:footnoteRef/>
      </w:r>
      <w:r>
        <w:t xml:space="preserve"> This method caused a slight violation of </w:t>
      </w:r>
      <w:proofErr w:type="spellStart"/>
      <w:r>
        <w:t>heteroskedasticity</w:t>
      </w:r>
      <w:proofErr w:type="spellEnd"/>
      <w:r>
        <w:t xml:space="preserve"> assumptions but this was determined to be through small sample size being biased by statistical outliers rather than a misspecification of the model.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3622B"/>
    <w:multiLevelType w:val="hybridMultilevel"/>
    <w:tmpl w:val="953C8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FBC"/>
    <w:rsid w:val="00007BEE"/>
    <w:rsid w:val="00052A25"/>
    <w:rsid w:val="000530DB"/>
    <w:rsid w:val="00076197"/>
    <w:rsid w:val="0008149D"/>
    <w:rsid w:val="000C008D"/>
    <w:rsid w:val="0014288E"/>
    <w:rsid w:val="0014348B"/>
    <w:rsid w:val="00161B76"/>
    <w:rsid w:val="00171C0F"/>
    <w:rsid w:val="00174A45"/>
    <w:rsid w:val="001A1BF9"/>
    <w:rsid w:val="001E6B39"/>
    <w:rsid w:val="001F26B0"/>
    <w:rsid w:val="00207981"/>
    <w:rsid w:val="00224899"/>
    <w:rsid w:val="0024626D"/>
    <w:rsid w:val="0025040A"/>
    <w:rsid w:val="002735C8"/>
    <w:rsid w:val="00275A87"/>
    <w:rsid w:val="002840FB"/>
    <w:rsid w:val="00296262"/>
    <w:rsid w:val="002A167E"/>
    <w:rsid w:val="002B2653"/>
    <w:rsid w:val="002B4BA8"/>
    <w:rsid w:val="002B638D"/>
    <w:rsid w:val="002F2D86"/>
    <w:rsid w:val="00301548"/>
    <w:rsid w:val="00304833"/>
    <w:rsid w:val="00327476"/>
    <w:rsid w:val="00352F21"/>
    <w:rsid w:val="00363ABC"/>
    <w:rsid w:val="00377898"/>
    <w:rsid w:val="003A7369"/>
    <w:rsid w:val="003C1F55"/>
    <w:rsid w:val="003F2341"/>
    <w:rsid w:val="003F4E04"/>
    <w:rsid w:val="004014B9"/>
    <w:rsid w:val="004458B0"/>
    <w:rsid w:val="00467FA9"/>
    <w:rsid w:val="00482C5B"/>
    <w:rsid w:val="00495B54"/>
    <w:rsid w:val="004C4F81"/>
    <w:rsid w:val="004E6CD9"/>
    <w:rsid w:val="004F7E13"/>
    <w:rsid w:val="005038FD"/>
    <w:rsid w:val="00507DB7"/>
    <w:rsid w:val="00533DDF"/>
    <w:rsid w:val="0053742D"/>
    <w:rsid w:val="0057185A"/>
    <w:rsid w:val="00595F26"/>
    <w:rsid w:val="005B2FCB"/>
    <w:rsid w:val="005B7792"/>
    <w:rsid w:val="005C2ACA"/>
    <w:rsid w:val="005E5993"/>
    <w:rsid w:val="00653597"/>
    <w:rsid w:val="0065417B"/>
    <w:rsid w:val="00690C88"/>
    <w:rsid w:val="006A15F4"/>
    <w:rsid w:val="006F7F7B"/>
    <w:rsid w:val="00736797"/>
    <w:rsid w:val="00757B21"/>
    <w:rsid w:val="007673AC"/>
    <w:rsid w:val="007824D1"/>
    <w:rsid w:val="00800E7E"/>
    <w:rsid w:val="00806140"/>
    <w:rsid w:val="00810624"/>
    <w:rsid w:val="008123B3"/>
    <w:rsid w:val="00825840"/>
    <w:rsid w:val="00826D1A"/>
    <w:rsid w:val="00831B20"/>
    <w:rsid w:val="008616B1"/>
    <w:rsid w:val="008621A0"/>
    <w:rsid w:val="008D2ABA"/>
    <w:rsid w:val="008D32BD"/>
    <w:rsid w:val="00920862"/>
    <w:rsid w:val="00933284"/>
    <w:rsid w:val="00965A8C"/>
    <w:rsid w:val="00985E01"/>
    <w:rsid w:val="009948F7"/>
    <w:rsid w:val="009D2B35"/>
    <w:rsid w:val="009E659F"/>
    <w:rsid w:val="009F2FBE"/>
    <w:rsid w:val="00A00F54"/>
    <w:rsid w:val="00A44CCB"/>
    <w:rsid w:val="00A86850"/>
    <w:rsid w:val="00A957A6"/>
    <w:rsid w:val="00AA7B3D"/>
    <w:rsid w:val="00AB304E"/>
    <w:rsid w:val="00AC53AD"/>
    <w:rsid w:val="00AC5D99"/>
    <w:rsid w:val="00AF7A55"/>
    <w:rsid w:val="00B041A1"/>
    <w:rsid w:val="00B05F1C"/>
    <w:rsid w:val="00B4342C"/>
    <w:rsid w:val="00B43FCF"/>
    <w:rsid w:val="00B768DD"/>
    <w:rsid w:val="00B94FBC"/>
    <w:rsid w:val="00BA0F2E"/>
    <w:rsid w:val="00BF69CC"/>
    <w:rsid w:val="00C55FDE"/>
    <w:rsid w:val="00C706E4"/>
    <w:rsid w:val="00C84A2F"/>
    <w:rsid w:val="00CB301C"/>
    <w:rsid w:val="00CB4671"/>
    <w:rsid w:val="00CD0249"/>
    <w:rsid w:val="00CE15F0"/>
    <w:rsid w:val="00CF00B2"/>
    <w:rsid w:val="00D0147E"/>
    <w:rsid w:val="00D5112C"/>
    <w:rsid w:val="00DC5D31"/>
    <w:rsid w:val="00E55EE5"/>
    <w:rsid w:val="00E70363"/>
    <w:rsid w:val="00E9583D"/>
    <w:rsid w:val="00ED41AB"/>
    <w:rsid w:val="00F3035F"/>
    <w:rsid w:val="00F56879"/>
    <w:rsid w:val="00FC21A1"/>
    <w:rsid w:val="00FC78D0"/>
    <w:rsid w:val="00FE3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61B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1B76"/>
    <w:rPr>
      <w:lang w:eastAsia="en-US"/>
    </w:rPr>
  </w:style>
  <w:style w:type="character" w:styleId="EndnoteReference">
    <w:name w:val="endnote reference"/>
    <w:basedOn w:val="DefaultParagraphFont"/>
    <w:uiPriority w:val="99"/>
    <w:semiHidden/>
    <w:unhideWhenUsed/>
    <w:rsid w:val="00161B76"/>
    <w:rPr>
      <w:vertAlign w:val="superscript"/>
    </w:rPr>
  </w:style>
  <w:style w:type="paragraph" w:styleId="FootnoteText">
    <w:name w:val="footnote text"/>
    <w:basedOn w:val="Normal"/>
    <w:link w:val="FootnoteTextChar"/>
    <w:uiPriority w:val="99"/>
    <w:semiHidden/>
    <w:unhideWhenUsed/>
    <w:rsid w:val="00161B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B76"/>
    <w:rPr>
      <w:lang w:eastAsia="en-US"/>
    </w:rPr>
  </w:style>
  <w:style w:type="character" w:styleId="FootnoteReference">
    <w:name w:val="footnote reference"/>
    <w:basedOn w:val="DefaultParagraphFont"/>
    <w:uiPriority w:val="99"/>
    <w:semiHidden/>
    <w:unhideWhenUsed/>
    <w:rsid w:val="00161B76"/>
    <w:rPr>
      <w:vertAlign w:val="superscript"/>
    </w:rPr>
  </w:style>
  <w:style w:type="character" w:styleId="Hyperlink">
    <w:name w:val="Hyperlink"/>
    <w:basedOn w:val="DefaultParagraphFont"/>
    <w:uiPriority w:val="99"/>
    <w:unhideWhenUsed/>
    <w:rsid w:val="00171C0F"/>
    <w:rPr>
      <w:color w:val="0000FF" w:themeColor="hyperlink"/>
      <w:u w:val="single"/>
    </w:rPr>
  </w:style>
  <w:style w:type="paragraph" w:styleId="BalloonText">
    <w:name w:val="Balloon Text"/>
    <w:basedOn w:val="Normal"/>
    <w:link w:val="BalloonTextChar"/>
    <w:uiPriority w:val="99"/>
    <w:semiHidden/>
    <w:unhideWhenUsed/>
    <w:rsid w:val="00507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DB7"/>
    <w:rPr>
      <w:rFonts w:ascii="Tahoma" w:hAnsi="Tahoma" w:cs="Tahoma"/>
      <w:sz w:val="16"/>
      <w:szCs w:val="16"/>
      <w:lang w:eastAsia="en-US"/>
    </w:rPr>
  </w:style>
  <w:style w:type="paragraph" w:styleId="ListParagraph">
    <w:name w:val="List Paragraph"/>
    <w:basedOn w:val="Normal"/>
    <w:uiPriority w:val="34"/>
    <w:qFormat/>
    <w:rsid w:val="00757B21"/>
    <w:pPr>
      <w:ind w:left="720"/>
      <w:contextualSpacing/>
    </w:pPr>
  </w:style>
  <w:style w:type="character" w:styleId="FollowedHyperlink">
    <w:name w:val="FollowedHyperlink"/>
    <w:basedOn w:val="DefaultParagraphFont"/>
    <w:uiPriority w:val="99"/>
    <w:semiHidden/>
    <w:unhideWhenUsed/>
    <w:rsid w:val="004014B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61B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1B76"/>
    <w:rPr>
      <w:lang w:eastAsia="en-US"/>
    </w:rPr>
  </w:style>
  <w:style w:type="character" w:styleId="EndnoteReference">
    <w:name w:val="endnote reference"/>
    <w:basedOn w:val="DefaultParagraphFont"/>
    <w:uiPriority w:val="99"/>
    <w:semiHidden/>
    <w:unhideWhenUsed/>
    <w:rsid w:val="00161B76"/>
    <w:rPr>
      <w:vertAlign w:val="superscript"/>
    </w:rPr>
  </w:style>
  <w:style w:type="paragraph" w:styleId="FootnoteText">
    <w:name w:val="footnote text"/>
    <w:basedOn w:val="Normal"/>
    <w:link w:val="FootnoteTextChar"/>
    <w:uiPriority w:val="99"/>
    <w:semiHidden/>
    <w:unhideWhenUsed/>
    <w:rsid w:val="00161B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B76"/>
    <w:rPr>
      <w:lang w:eastAsia="en-US"/>
    </w:rPr>
  </w:style>
  <w:style w:type="character" w:styleId="FootnoteReference">
    <w:name w:val="footnote reference"/>
    <w:basedOn w:val="DefaultParagraphFont"/>
    <w:uiPriority w:val="99"/>
    <w:semiHidden/>
    <w:unhideWhenUsed/>
    <w:rsid w:val="00161B76"/>
    <w:rPr>
      <w:vertAlign w:val="superscript"/>
    </w:rPr>
  </w:style>
  <w:style w:type="character" w:styleId="Hyperlink">
    <w:name w:val="Hyperlink"/>
    <w:basedOn w:val="DefaultParagraphFont"/>
    <w:uiPriority w:val="99"/>
    <w:unhideWhenUsed/>
    <w:rsid w:val="00171C0F"/>
    <w:rPr>
      <w:color w:val="0000FF" w:themeColor="hyperlink"/>
      <w:u w:val="single"/>
    </w:rPr>
  </w:style>
  <w:style w:type="paragraph" w:styleId="BalloonText">
    <w:name w:val="Balloon Text"/>
    <w:basedOn w:val="Normal"/>
    <w:link w:val="BalloonTextChar"/>
    <w:uiPriority w:val="99"/>
    <w:semiHidden/>
    <w:unhideWhenUsed/>
    <w:rsid w:val="00507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DB7"/>
    <w:rPr>
      <w:rFonts w:ascii="Tahoma" w:hAnsi="Tahoma" w:cs="Tahoma"/>
      <w:sz w:val="16"/>
      <w:szCs w:val="16"/>
      <w:lang w:eastAsia="en-US"/>
    </w:rPr>
  </w:style>
  <w:style w:type="paragraph" w:styleId="ListParagraph">
    <w:name w:val="List Paragraph"/>
    <w:basedOn w:val="Normal"/>
    <w:uiPriority w:val="34"/>
    <w:qFormat/>
    <w:rsid w:val="00757B21"/>
    <w:pPr>
      <w:ind w:left="720"/>
      <w:contextualSpacing/>
    </w:pPr>
  </w:style>
  <w:style w:type="character" w:styleId="FollowedHyperlink">
    <w:name w:val="FollowedHyperlink"/>
    <w:basedOn w:val="DefaultParagraphFont"/>
    <w:uiPriority w:val="99"/>
    <w:semiHidden/>
    <w:unhideWhenUsed/>
    <w:rsid w:val="004014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33093">
      <w:bodyDiv w:val="1"/>
      <w:marLeft w:val="0"/>
      <w:marRight w:val="0"/>
      <w:marTop w:val="0"/>
      <w:marBottom w:val="0"/>
      <w:divBdr>
        <w:top w:val="none" w:sz="0" w:space="0" w:color="auto"/>
        <w:left w:val="none" w:sz="0" w:space="0" w:color="auto"/>
        <w:bottom w:val="none" w:sz="0" w:space="0" w:color="auto"/>
        <w:right w:val="none" w:sz="0" w:space="0" w:color="auto"/>
      </w:divBdr>
    </w:div>
    <w:div w:id="561982950">
      <w:bodyDiv w:val="1"/>
      <w:marLeft w:val="0"/>
      <w:marRight w:val="0"/>
      <w:marTop w:val="0"/>
      <w:marBottom w:val="0"/>
      <w:divBdr>
        <w:top w:val="none" w:sz="0" w:space="0" w:color="auto"/>
        <w:left w:val="none" w:sz="0" w:space="0" w:color="auto"/>
        <w:bottom w:val="none" w:sz="0" w:space="0" w:color="auto"/>
        <w:right w:val="none" w:sz="0" w:space="0" w:color="auto"/>
      </w:divBdr>
    </w:div>
    <w:div w:id="785195805">
      <w:bodyDiv w:val="1"/>
      <w:marLeft w:val="0"/>
      <w:marRight w:val="0"/>
      <w:marTop w:val="0"/>
      <w:marBottom w:val="0"/>
      <w:divBdr>
        <w:top w:val="none" w:sz="0" w:space="0" w:color="auto"/>
        <w:left w:val="none" w:sz="0" w:space="0" w:color="auto"/>
        <w:bottom w:val="none" w:sz="0" w:space="0" w:color="auto"/>
        <w:right w:val="none" w:sz="0" w:space="0" w:color="auto"/>
      </w:divBdr>
    </w:div>
    <w:div w:id="874543670">
      <w:bodyDiv w:val="1"/>
      <w:marLeft w:val="0"/>
      <w:marRight w:val="0"/>
      <w:marTop w:val="0"/>
      <w:marBottom w:val="0"/>
      <w:divBdr>
        <w:top w:val="none" w:sz="0" w:space="0" w:color="auto"/>
        <w:left w:val="none" w:sz="0" w:space="0" w:color="auto"/>
        <w:bottom w:val="none" w:sz="0" w:space="0" w:color="auto"/>
        <w:right w:val="none" w:sz="0" w:space="0" w:color="auto"/>
      </w:divBdr>
    </w:div>
    <w:div w:id="1209219213">
      <w:bodyDiv w:val="1"/>
      <w:marLeft w:val="0"/>
      <w:marRight w:val="0"/>
      <w:marTop w:val="0"/>
      <w:marBottom w:val="0"/>
      <w:divBdr>
        <w:top w:val="none" w:sz="0" w:space="0" w:color="auto"/>
        <w:left w:val="none" w:sz="0" w:space="0" w:color="auto"/>
        <w:bottom w:val="none" w:sz="0" w:space="0" w:color="auto"/>
        <w:right w:val="none" w:sz="0" w:space="0" w:color="auto"/>
      </w:divBdr>
    </w:div>
    <w:div w:id="1299342961">
      <w:bodyDiv w:val="1"/>
      <w:marLeft w:val="0"/>
      <w:marRight w:val="0"/>
      <w:marTop w:val="0"/>
      <w:marBottom w:val="0"/>
      <w:divBdr>
        <w:top w:val="none" w:sz="0" w:space="0" w:color="auto"/>
        <w:left w:val="none" w:sz="0" w:space="0" w:color="auto"/>
        <w:bottom w:val="none" w:sz="0" w:space="0" w:color="auto"/>
        <w:right w:val="none" w:sz="0" w:space="0" w:color="auto"/>
      </w:divBdr>
    </w:div>
    <w:div w:id="146573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jsna.westsussex.gov.uk/jsna-Core-dataset"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mailto:JSNA@westsussex.gov.uk" TargetMode="External"/><Relationship Id="rId3" Type="http://schemas.openxmlformats.org/officeDocument/2006/relationships/hyperlink" Target="http://www.ons.gov.uk/ons/rel/sape/soa-mid-year-pop-est-engl-wales-exp/mid-2002-to-mid-2010-revised/stb---super-output-area-population-estimates--mid-2002-to-mid-2010--revised-.html" TargetMode="External"/><Relationship Id="rId7" Type="http://schemas.openxmlformats.org/officeDocument/2006/relationships/hyperlink" Target="http://www.apho.org.uk/default.aspx?QN=P_HEALTH_PROFILES" TargetMode="External"/><Relationship Id="rId2" Type="http://schemas.openxmlformats.org/officeDocument/2006/relationships/hyperlink" Target="http://www.ons.gov.uk/ons/search/index.html?pageSize=50&amp;sortBy=none&amp;sortDirection=none&amp;newquery=Super+Output+Area+Population+Estimates+2001" TargetMode="External"/><Relationship Id="rId1" Type="http://schemas.openxmlformats.org/officeDocument/2006/relationships/hyperlink" Target="http://www.sepho.org.uk/viewResource.aspx?id=9847" TargetMode="External"/><Relationship Id="rId6" Type="http://schemas.openxmlformats.org/officeDocument/2006/relationships/hyperlink" Target="http://www.lho.org.uk/LHO_Topics/Analytic_Tools/Segment/Documents/LA_E10000032.pdf" TargetMode="External"/><Relationship Id="rId5" Type="http://schemas.openxmlformats.org/officeDocument/2006/relationships/hyperlink" Target="http://www.ons.gov.uk/ons/rel/sape/soa-mid-year-pop-est-engl-wales-exp/mid-2012/stb---super-output-area---mid-2012.html" TargetMode="External"/><Relationship Id="rId10" Type="http://schemas.openxmlformats.org/officeDocument/2006/relationships/hyperlink" Target="http://jsna.westsussex.gov.uk/JSNA-Profiles" TargetMode="External"/><Relationship Id="rId4" Type="http://schemas.openxmlformats.org/officeDocument/2006/relationships/hyperlink" Target="http://www.ons.gov.uk/ons/rel/sape/soa-mid-year-pop-est-engl-wales-exp/mid-2011--census-based-/stb---super-output-area---mid-2011.html" TargetMode="External"/><Relationship Id="rId9" Type="http://schemas.openxmlformats.org/officeDocument/2006/relationships/hyperlink" Target="http://www.westsussex.nhs.uk/domains/westsussex.nhs.uk/local/media/images/medium/promoting_action_on_health_inequalities___west_sussex_2012_17_executive_summary.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typhon\groups2.bu\Public%20Health%20Directorate\PH%20Research%20Unit\Life%20Expectancy\2001-2012\Life%20Expectancy%202001-12%20district%20mf.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typhon\groups2.bu\Public%20Health%20Directorate\PH%20Research%20Unit\Life%20Expectancy\2001-2012\Life%20Expectancy%202001-12%20district%20mf.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typhon\groups2.bu\Public%20Health%20Directorate\PH%20Research%20Unit\Life%20Expectancy\2001-2012\Life%20Expectancy%202001-12%20IMD%20decile%20re-bas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GB" sz="1400" b="1" i="0" baseline="0">
                <a:effectLst/>
              </a:rPr>
              <a:t>Life Expectancy at Birth (Males)</a:t>
            </a:r>
            <a:endParaRPr lang="en-GB" sz="1400">
              <a:effectLst/>
            </a:endParaRPr>
          </a:p>
        </c:rich>
      </c:tx>
      <c:overlay val="0"/>
    </c:title>
    <c:autoTitleDeleted val="0"/>
    <c:plotArea>
      <c:layout/>
      <c:lineChart>
        <c:grouping val="standard"/>
        <c:varyColors val="0"/>
        <c:ser>
          <c:idx val="0"/>
          <c:order val="0"/>
          <c:tx>
            <c:strRef>
              <c:f>'Time series Males'!$A$2</c:f>
              <c:strCache>
                <c:ptCount val="1"/>
                <c:pt idx="0">
                  <c:v>West Sussex</c:v>
                </c:pt>
              </c:strCache>
            </c:strRef>
          </c:tx>
          <c:marker>
            <c:symbol val="none"/>
          </c:marker>
          <c:cat>
            <c:strRef>
              <c:f>'Time series Males'!$B$1:$K$1</c:f>
              <c:strCache>
                <c:ptCount val="10"/>
                <c:pt idx="0">
                  <c:v>2001-3</c:v>
                </c:pt>
                <c:pt idx="1">
                  <c:v>2002-4</c:v>
                </c:pt>
                <c:pt idx="2">
                  <c:v>2003-5</c:v>
                </c:pt>
                <c:pt idx="3">
                  <c:v>2004-6</c:v>
                </c:pt>
                <c:pt idx="4">
                  <c:v>2005-7</c:v>
                </c:pt>
                <c:pt idx="5">
                  <c:v>2006-8</c:v>
                </c:pt>
                <c:pt idx="6">
                  <c:v>2007-9</c:v>
                </c:pt>
                <c:pt idx="7">
                  <c:v>2008-10</c:v>
                </c:pt>
                <c:pt idx="8">
                  <c:v>2009-11</c:v>
                </c:pt>
                <c:pt idx="9">
                  <c:v>2010-12</c:v>
                </c:pt>
              </c:strCache>
            </c:strRef>
          </c:cat>
          <c:val>
            <c:numRef>
              <c:f>'Time series Males'!$B$2:$K$2</c:f>
              <c:numCache>
                <c:formatCode>0.00</c:formatCode>
                <c:ptCount val="10"/>
                <c:pt idx="0">
                  <c:v>77.691791736224133</c:v>
                </c:pt>
                <c:pt idx="1">
                  <c:v>77.953623430676586</c:v>
                </c:pt>
                <c:pt idx="2">
                  <c:v>78.250850681885794</c:v>
                </c:pt>
                <c:pt idx="3">
                  <c:v>78.784904700307507</c:v>
                </c:pt>
                <c:pt idx="4">
                  <c:v>78.894057640423341</c:v>
                </c:pt>
                <c:pt idx="5">
                  <c:v>79.050926363325374</c:v>
                </c:pt>
                <c:pt idx="6">
                  <c:v>79.248110914029624</c:v>
                </c:pt>
                <c:pt idx="7">
                  <c:v>79.767240052630456</c:v>
                </c:pt>
                <c:pt idx="8">
                  <c:v>80.240085861160907</c:v>
                </c:pt>
                <c:pt idx="9">
                  <c:v>80.529257618590435</c:v>
                </c:pt>
              </c:numCache>
            </c:numRef>
          </c:val>
          <c:smooth val="0"/>
        </c:ser>
        <c:ser>
          <c:idx val="1"/>
          <c:order val="1"/>
          <c:tx>
            <c:strRef>
              <c:f>'Time series Males'!$A$3</c:f>
              <c:strCache>
                <c:ptCount val="1"/>
                <c:pt idx="0">
                  <c:v>Adur</c:v>
                </c:pt>
              </c:strCache>
            </c:strRef>
          </c:tx>
          <c:marker>
            <c:symbol val="none"/>
          </c:marker>
          <c:cat>
            <c:strRef>
              <c:f>'Time series Males'!$B$1:$K$1</c:f>
              <c:strCache>
                <c:ptCount val="10"/>
                <c:pt idx="0">
                  <c:v>2001-3</c:v>
                </c:pt>
                <c:pt idx="1">
                  <c:v>2002-4</c:v>
                </c:pt>
                <c:pt idx="2">
                  <c:v>2003-5</c:v>
                </c:pt>
                <c:pt idx="3">
                  <c:v>2004-6</c:v>
                </c:pt>
                <c:pt idx="4">
                  <c:v>2005-7</c:v>
                </c:pt>
                <c:pt idx="5">
                  <c:v>2006-8</c:v>
                </c:pt>
                <c:pt idx="6">
                  <c:v>2007-9</c:v>
                </c:pt>
                <c:pt idx="7">
                  <c:v>2008-10</c:v>
                </c:pt>
                <c:pt idx="8">
                  <c:v>2009-11</c:v>
                </c:pt>
                <c:pt idx="9">
                  <c:v>2010-12</c:v>
                </c:pt>
              </c:strCache>
            </c:strRef>
          </c:cat>
          <c:val>
            <c:numRef>
              <c:f>'Time series Males'!$B$3:$K$3</c:f>
              <c:numCache>
                <c:formatCode>0.00</c:formatCode>
                <c:ptCount val="10"/>
                <c:pt idx="0">
                  <c:v>77.293537301234963</c:v>
                </c:pt>
                <c:pt idx="1">
                  <c:v>77.111268519270851</c:v>
                </c:pt>
                <c:pt idx="2">
                  <c:v>77.344443206149066</c:v>
                </c:pt>
                <c:pt idx="3">
                  <c:v>78.558386195419175</c:v>
                </c:pt>
                <c:pt idx="4">
                  <c:v>78.37713901398422</c:v>
                </c:pt>
                <c:pt idx="5">
                  <c:v>78.455509990016267</c:v>
                </c:pt>
                <c:pt idx="6">
                  <c:v>78.200379070940087</c:v>
                </c:pt>
                <c:pt idx="7">
                  <c:v>79.223850492367831</c:v>
                </c:pt>
                <c:pt idx="8">
                  <c:v>80.02222509802921</c:v>
                </c:pt>
                <c:pt idx="9">
                  <c:v>80.449484636499463</c:v>
                </c:pt>
              </c:numCache>
            </c:numRef>
          </c:val>
          <c:smooth val="0"/>
        </c:ser>
        <c:ser>
          <c:idx val="2"/>
          <c:order val="2"/>
          <c:tx>
            <c:strRef>
              <c:f>'Time series Males'!$A$4</c:f>
              <c:strCache>
                <c:ptCount val="1"/>
                <c:pt idx="0">
                  <c:v>Arun</c:v>
                </c:pt>
              </c:strCache>
            </c:strRef>
          </c:tx>
          <c:marker>
            <c:symbol val="none"/>
          </c:marker>
          <c:cat>
            <c:strRef>
              <c:f>'Time series Males'!$B$1:$K$1</c:f>
              <c:strCache>
                <c:ptCount val="10"/>
                <c:pt idx="0">
                  <c:v>2001-3</c:v>
                </c:pt>
                <c:pt idx="1">
                  <c:v>2002-4</c:v>
                </c:pt>
                <c:pt idx="2">
                  <c:v>2003-5</c:v>
                </c:pt>
                <c:pt idx="3">
                  <c:v>2004-6</c:v>
                </c:pt>
                <c:pt idx="4">
                  <c:v>2005-7</c:v>
                </c:pt>
                <c:pt idx="5">
                  <c:v>2006-8</c:v>
                </c:pt>
                <c:pt idx="6">
                  <c:v>2007-9</c:v>
                </c:pt>
                <c:pt idx="7">
                  <c:v>2008-10</c:v>
                </c:pt>
                <c:pt idx="8">
                  <c:v>2009-11</c:v>
                </c:pt>
                <c:pt idx="9">
                  <c:v>2010-12</c:v>
                </c:pt>
              </c:strCache>
            </c:strRef>
          </c:cat>
          <c:val>
            <c:numRef>
              <c:f>'Time series Males'!$B$4:$K$4</c:f>
              <c:numCache>
                <c:formatCode>0.00</c:formatCode>
                <c:ptCount val="10"/>
                <c:pt idx="0">
                  <c:v>77.491457296649259</c:v>
                </c:pt>
                <c:pt idx="1">
                  <c:v>77.629296663233305</c:v>
                </c:pt>
                <c:pt idx="2">
                  <c:v>77.56941079429734</c:v>
                </c:pt>
                <c:pt idx="3">
                  <c:v>77.822112763716163</c:v>
                </c:pt>
                <c:pt idx="4">
                  <c:v>78.080699909531276</c:v>
                </c:pt>
                <c:pt idx="5">
                  <c:v>78.643162044294627</c:v>
                </c:pt>
                <c:pt idx="6">
                  <c:v>78.727623897577416</c:v>
                </c:pt>
                <c:pt idx="7">
                  <c:v>79.179703511638337</c:v>
                </c:pt>
                <c:pt idx="8">
                  <c:v>79.095920620374059</c:v>
                </c:pt>
                <c:pt idx="9">
                  <c:v>79.668506638356519</c:v>
                </c:pt>
              </c:numCache>
            </c:numRef>
          </c:val>
          <c:smooth val="0"/>
        </c:ser>
        <c:ser>
          <c:idx val="3"/>
          <c:order val="3"/>
          <c:tx>
            <c:strRef>
              <c:f>'Time series Males'!$A$5</c:f>
              <c:strCache>
                <c:ptCount val="1"/>
                <c:pt idx="0">
                  <c:v>Chichester</c:v>
                </c:pt>
              </c:strCache>
            </c:strRef>
          </c:tx>
          <c:marker>
            <c:symbol val="none"/>
          </c:marker>
          <c:cat>
            <c:strRef>
              <c:f>'Time series Males'!$B$1:$K$1</c:f>
              <c:strCache>
                <c:ptCount val="10"/>
                <c:pt idx="0">
                  <c:v>2001-3</c:v>
                </c:pt>
                <c:pt idx="1">
                  <c:v>2002-4</c:v>
                </c:pt>
                <c:pt idx="2">
                  <c:v>2003-5</c:v>
                </c:pt>
                <c:pt idx="3">
                  <c:v>2004-6</c:v>
                </c:pt>
                <c:pt idx="4">
                  <c:v>2005-7</c:v>
                </c:pt>
                <c:pt idx="5">
                  <c:v>2006-8</c:v>
                </c:pt>
                <c:pt idx="6">
                  <c:v>2007-9</c:v>
                </c:pt>
                <c:pt idx="7">
                  <c:v>2008-10</c:v>
                </c:pt>
                <c:pt idx="8">
                  <c:v>2009-11</c:v>
                </c:pt>
                <c:pt idx="9">
                  <c:v>2010-12</c:v>
                </c:pt>
              </c:strCache>
            </c:strRef>
          </c:cat>
          <c:val>
            <c:numRef>
              <c:f>'Time series Males'!$B$5:$K$5</c:f>
              <c:numCache>
                <c:formatCode>0.00</c:formatCode>
                <c:ptCount val="10"/>
                <c:pt idx="0">
                  <c:v>77.829063988932447</c:v>
                </c:pt>
                <c:pt idx="1">
                  <c:v>78.096989537503248</c:v>
                </c:pt>
                <c:pt idx="2">
                  <c:v>78.663464486945898</c:v>
                </c:pt>
                <c:pt idx="3">
                  <c:v>79.076824655223191</c:v>
                </c:pt>
                <c:pt idx="4">
                  <c:v>79.140938843737814</c:v>
                </c:pt>
                <c:pt idx="5">
                  <c:v>78.958865891249019</c:v>
                </c:pt>
                <c:pt idx="6">
                  <c:v>79.393531774097966</c:v>
                </c:pt>
                <c:pt idx="7">
                  <c:v>80.119264008324748</c:v>
                </c:pt>
                <c:pt idx="8">
                  <c:v>80.893379263226578</c:v>
                </c:pt>
                <c:pt idx="9">
                  <c:v>80.947284799283878</c:v>
                </c:pt>
              </c:numCache>
            </c:numRef>
          </c:val>
          <c:smooth val="0"/>
        </c:ser>
        <c:ser>
          <c:idx val="4"/>
          <c:order val="4"/>
          <c:tx>
            <c:strRef>
              <c:f>'Time series Males'!$A$6</c:f>
              <c:strCache>
                <c:ptCount val="1"/>
                <c:pt idx="0">
                  <c:v>Crawley</c:v>
                </c:pt>
              </c:strCache>
            </c:strRef>
          </c:tx>
          <c:marker>
            <c:symbol val="none"/>
          </c:marker>
          <c:cat>
            <c:strRef>
              <c:f>'Time series Males'!$B$1:$K$1</c:f>
              <c:strCache>
                <c:ptCount val="10"/>
                <c:pt idx="0">
                  <c:v>2001-3</c:v>
                </c:pt>
                <c:pt idx="1">
                  <c:v>2002-4</c:v>
                </c:pt>
                <c:pt idx="2">
                  <c:v>2003-5</c:v>
                </c:pt>
                <c:pt idx="3">
                  <c:v>2004-6</c:v>
                </c:pt>
                <c:pt idx="4">
                  <c:v>2005-7</c:v>
                </c:pt>
                <c:pt idx="5">
                  <c:v>2006-8</c:v>
                </c:pt>
                <c:pt idx="6">
                  <c:v>2007-9</c:v>
                </c:pt>
                <c:pt idx="7">
                  <c:v>2008-10</c:v>
                </c:pt>
                <c:pt idx="8">
                  <c:v>2009-11</c:v>
                </c:pt>
                <c:pt idx="9">
                  <c:v>2010-12</c:v>
                </c:pt>
              </c:strCache>
            </c:strRef>
          </c:cat>
          <c:val>
            <c:numRef>
              <c:f>'Time series Males'!$B$6:$K$6</c:f>
              <c:numCache>
                <c:formatCode>0.00</c:formatCode>
                <c:ptCount val="10"/>
                <c:pt idx="0">
                  <c:v>78.632617214301447</c:v>
                </c:pt>
                <c:pt idx="1">
                  <c:v>78.956745397118723</c:v>
                </c:pt>
                <c:pt idx="2">
                  <c:v>79.1560529348085</c:v>
                </c:pt>
                <c:pt idx="3">
                  <c:v>79.352727988911525</c:v>
                </c:pt>
                <c:pt idx="4">
                  <c:v>78.611845561368128</c:v>
                </c:pt>
                <c:pt idx="5">
                  <c:v>78.924341532521638</c:v>
                </c:pt>
                <c:pt idx="6">
                  <c:v>79.47475037430921</c:v>
                </c:pt>
                <c:pt idx="7">
                  <c:v>79.772495475511604</c:v>
                </c:pt>
                <c:pt idx="8">
                  <c:v>79.64217689262459</c:v>
                </c:pt>
                <c:pt idx="9">
                  <c:v>79.683188546030152</c:v>
                </c:pt>
              </c:numCache>
            </c:numRef>
          </c:val>
          <c:smooth val="0"/>
        </c:ser>
        <c:ser>
          <c:idx val="5"/>
          <c:order val="5"/>
          <c:tx>
            <c:strRef>
              <c:f>'Time series Males'!$A$7</c:f>
              <c:strCache>
                <c:ptCount val="1"/>
                <c:pt idx="0">
                  <c:v>Horsham</c:v>
                </c:pt>
              </c:strCache>
            </c:strRef>
          </c:tx>
          <c:marker>
            <c:symbol val="none"/>
          </c:marker>
          <c:cat>
            <c:strRef>
              <c:f>'Time series Males'!$B$1:$K$1</c:f>
              <c:strCache>
                <c:ptCount val="10"/>
                <c:pt idx="0">
                  <c:v>2001-3</c:v>
                </c:pt>
                <c:pt idx="1">
                  <c:v>2002-4</c:v>
                </c:pt>
                <c:pt idx="2">
                  <c:v>2003-5</c:v>
                </c:pt>
                <c:pt idx="3">
                  <c:v>2004-6</c:v>
                </c:pt>
                <c:pt idx="4">
                  <c:v>2005-7</c:v>
                </c:pt>
                <c:pt idx="5">
                  <c:v>2006-8</c:v>
                </c:pt>
                <c:pt idx="6">
                  <c:v>2007-9</c:v>
                </c:pt>
                <c:pt idx="7">
                  <c:v>2008-10</c:v>
                </c:pt>
                <c:pt idx="8">
                  <c:v>2009-11</c:v>
                </c:pt>
                <c:pt idx="9">
                  <c:v>2010-12</c:v>
                </c:pt>
              </c:strCache>
            </c:strRef>
          </c:cat>
          <c:val>
            <c:numRef>
              <c:f>'Time series Males'!$B$7:$K$7</c:f>
              <c:numCache>
                <c:formatCode>0.00</c:formatCode>
                <c:ptCount val="10"/>
                <c:pt idx="0">
                  <c:v>78.605357365717978</c:v>
                </c:pt>
                <c:pt idx="1">
                  <c:v>79.078434851685884</c:v>
                </c:pt>
                <c:pt idx="2">
                  <c:v>79.712168561252511</c:v>
                </c:pt>
                <c:pt idx="3">
                  <c:v>80.058783156337284</c:v>
                </c:pt>
                <c:pt idx="4">
                  <c:v>80.009059749632442</c:v>
                </c:pt>
                <c:pt idx="5">
                  <c:v>79.686544886199798</c:v>
                </c:pt>
                <c:pt idx="6">
                  <c:v>80.244932287007245</c:v>
                </c:pt>
                <c:pt idx="7">
                  <c:v>81.055472572924742</c:v>
                </c:pt>
                <c:pt idx="8">
                  <c:v>81.725500947645202</c:v>
                </c:pt>
                <c:pt idx="9">
                  <c:v>81.732478867473205</c:v>
                </c:pt>
              </c:numCache>
            </c:numRef>
          </c:val>
          <c:smooth val="0"/>
        </c:ser>
        <c:ser>
          <c:idx val="6"/>
          <c:order val="6"/>
          <c:tx>
            <c:strRef>
              <c:f>'Time series Males'!$A$8</c:f>
              <c:strCache>
                <c:ptCount val="1"/>
                <c:pt idx="0">
                  <c:v>Mid Sussex</c:v>
                </c:pt>
              </c:strCache>
            </c:strRef>
          </c:tx>
          <c:marker>
            <c:symbol val="none"/>
          </c:marker>
          <c:cat>
            <c:strRef>
              <c:f>'Time series Males'!$B$1:$K$1</c:f>
              <c:strCache>
                <c:ptCount val="10"/>
                <c:pt idx="0">
                  <c:v>2001-3</c:v>
                </c:pt>
                <c:pt idx="1">
                  <c:v>2002-4</c:v>
                </c:pt>
                <c:pt idx="2">
                  <c:v>2003-5</c:v>
                </c:pt>
                <c:pt idx="3">
                  <c:v>2004-6</c:v>
                </c:pt>
                <c:pt idx="4">
                  <c:v>2005-7</c:v>
                </c:pt>
                <c:pt idx="5">
                  <c:v>2006-8</c:v>
                </c:pt>
                <c:pt idx="6">
                  <c:v>2007-9</c:v>
                </c:pt>
                <c:pt idx="7">
                  <c:v>2008-10</c:v>
                </c:pt>
                <c:pt idx="8">
                  <c:v>2009-11</c:v>
                </c:pt>
                <c:pt idx="9">
                  <c:v>2010-12</c:v>
                </c:pt>
              </c:strCache>
            </c:strRef>
          </c:cat>
          <c:val>
            <c:numRef>
              <c:f>'Time series Males'!$B$8:$K$8</c:f>
              <c:numCache>
                <c:formatCode>0.00</c:formatCode>
                <c:ptCount val="10"/>
                <c:pt idx="0">
                  <c:v>77.697325626731939</c:v>
                </c:pt>
                <c:pt idx="1">
                  <c:v>78.211260771871849</c:v>
                </c:pt>
                <c:pt idx="2">
                  <c:v>78.775133366238407</c:v>
                </c:pt>
                <c:pt idx="3">
                  <c:v>79.838208429186722</c:v>
                </c:pt>
                <c:pt idx="4">
                  <c:v>79.999017574809628</c:v>
                </c:pt>
                <c:pt idx="5">
                  <c:v>80.275578913132776</c:v>
                </c:pt>
                <c:pt idx="6">
                  <c:v>80.509501084712838</c:v>
                </c:pt>
                <c:pt idx="7">
                  <c:v>81.080639308721629</c:v>
                </c:pt>
                <c:pt idx="8">
                  <c:v>81.586518148970541</c:v>
                </c:pt>
                <c:pt idx="9">
                  <c:v>81.850217550711079</c:v>
                </c:pt>
              </c:numCache>
            </c:numRef>
          </c:val>
          <c:smooth val="0"/>
        </c:ser>
        <c:ser>
          <c:idx val="7"/>
          <c:order val="7"/>
          <c:tx>
            <c:strRef>
              <c:f>'Time series Males'!$A$9</c:f>
              <c:strCache>
                <c:ptCount val="1"/>
                <c:pt idx="0">
                  <c:v>Worthing</c:v>
                </c:pt>
              </c:strCache>
            </c:strRef>
          </c:tx>
          <c:marker>
            <c:symbol val="none"/>
          </c:marker>
          <c:cat>
            <c:strRef>
              <c:f>'Time series Males'!$B$1:$K$1</c:f>
              <c:strCache>
                <c:ptCount val="10"/>
                <c:pt idx="0">
                  <c:v>2001-3</c:v>
                </c:pt>
                <c:pt idx="1">
                  <c:v>2002-4</c:v>
                </c:pt>
                <c:pt idx="2">
                  <c:v>2003-5</c:v>
                </c:pt>
                <c:pt idx="3">
                  <c:v>2004-6</c:v>
                </c:pt>
                <c:pt idx="4">
                  <c:v>2005-7</c:v>
                </c:pt>
                <c:pt idx="5">
                  <c:v>2006-8</c:v>
                </c:pt>
                <c:pt idx="6">
                  <c:v>2007-9</c:v>
                </c:pt>
                <c:pt idx="7">
                  <c:v>2008-10</c:v>
                </c:pt>
                <c:pt idx="8">
                  <c:v>2009-11</c:v>
                </c:pt>
                <c:pt idx="9">
                  <c:v>2010-12</c:v>
                </c:pt>
              </c:strCache>
            </c:strRef>
          </c:cat>
          <c:val>
            <c:numRef>
              <c:f>'Time series Males'!$B$9:$K$9</c:f>
              <c:numCache>
                <c:formatCode>0.00</c:formatCode>
                <c:ptCount val="10"/>
                <c:pt idx="0">
                  <c:v>76.372374768880448</c:v>
                </c:pt>
                <c:pt idx="1">
                  <c:v>76.542323422834144</c:v>
                </c:pt>
                <c:pt idx="2">
                  <c:v>76.679662930255972</c:v>
                </c:pt>
                <c:pt idx="3">
                  <c:v>77.308452399629459</c:v>
                </c:pt>
                <c:pt idx="4">
                  <c:v>78.181998710599572</c:v>
                </c:pt>
                <c:pt idx="5">
                  <c:v>78.210962951109906</c:v>
                </c:pt>
                <c:pt idx="6">
                  <c:v>77.72426479663531</c:v>
                </c:pt>
                <c:pt idx="7">
                  <c:v>77.474247599005622</c:v>
                </c:pt>
                <c:pt idx="8">
                  <c:v>78.331601083587046</c:v>
                </c:pt>
                <c:pt idx="9">
                  <c:v>78.758784803960381</c:v>
                </c:pt>
              </c:numCache>
            </c:numRef>
          </c:val>
          <c:smooth val="0"/>
        </c:ser>
        <c:dLbls>
          <c:showLegendKey val="0"/>
          <c:showVal val="0"/>
          <c:showCatName val="0"/>
          <c:showSerName val="0"/>
          <c:showPercent val="0"/>
          <c:showBubbleSize val="0"/>
        </c:dLbls>
        <c:marker val="1"/>
        <c:smooth val="0"/>
        <c:axId val="171618688"/>
        <c:axId val="171621376"/>
      </c:lineChart>
      <c:catAx>
        <c:axId val="171618688"/>
        <c:scaling>
          <c:orientation val="minMax"/>
        </c:scaling>
        <c:delete val="0"/>
        <c:axPos val="b"/>
        <c:title>
          <c:tx>
            <c:rich>
              <a:bodyPr/>
              <a:lstStyle/>
              <a:p>
                <a:pPr>
                  <a:defRPr/>
                </a:pPr>
                <a:r>
                  <a:rPr lang="en-GB"/>
                  <a:t>Years</a:t>
                </a:r>
              </a:p>
            </c:rich>
          </c:tx>
          <c:overlay val="0"/>
        </c:title>
        <c:majorTickMark val="out"/>
        <c:minorTickMark val="none"/>
        <c:tickLblPos val="nextTo"/>
        <c:crossAx val="171621376"/>
        <c:crosses val="autoZero"/>
        <c:auto val="1"/>
        <c:lblAlgn val="ctr"/>
        <c:lblOffset val="100"/>
        <c:noMultiLvlLbl val="0"/>
      </c:catAx>
      <c:valAx>
        <c:axId val="171621376"/>
        <c:scaling>
          <c:orientation val="minMax"/>
          <c:max val="82"/>
          <c:min val="76"/>
        </c:scaling>
        <c:delete val="0"/>
        <c:axPos val="l"/>
        <c:majorGridlines/>
        <c:title>
          <c:tx>
            <c:rich>
              <a:bodyPr rot="-5400000" vert="horz"/>
              <a:lstStyle/>
              <a:p>
                <a:pPr>
                  <a:defRPr/>
                </a:pPr>
                <a:r>
                  <a:rPr lang="en-GB"/>
                  <a:t>Life Expectancy</a:t>
                </a:r>
                <a:r>
                  <a:rPr lang="en-GB" baseline="0"/>
                  <a:t> at Birth</a:t>
                </a:r>
                <a:endParaRPr lang="en-GB"/>
              </a:p>
            </c:rich>
          </c:tx>
          <c:overlay val="0"/>
        </c:title>
        <c:numFmt formatCode="0" sourceLinked="0"/>
        <c:majorTickMark val="out"/>
        <c:minorTickMark val="none"/>
        <c:tickLblPos val="nextTo"/>
        <c:crossAx val="1716186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GB" sz="1400" b="1" i="0" baseline="0">
                <a:effectLst/>
              </a:rPr>
              <a:t>Life Expectancy at Birth (Females)</a:t>
            </a:r>
            <a:endParaRPr lang="en-GB" sz="1400">
              <a:effectLst/>
            </a:endParaRPr>
          </a:p>
        </c:rich>
      </c:tx>
      <c:overlay val="0"/>
    </c:title>
    <c:autoTitleDeleted val="0"/>
    <c:plotArea>
      <c:layout/>
      <c:lineChart>
        <c:grouping val="standard"/>
        <c:varyColors val="0"/>
        <c:ser>
          <c:idx val="0"/>
          <c:order val="0"/>
          <c:tx>
            <c:strRef>
              <c:f>'Time series Females'!$A$2</c:f>
              <c:strCache>
                <c:ptCount val="1"/>
                <c:pt idx="0">
                  <c:v>West Sussex</c:v>
                </c:pt>
              </c:strCache>
            </c:strRef>
          </c:tx>
          <c:marker>
            <c:symbol val="none"/>
          </c:marker>
          <c:cat>
            <c:strRef>
              <c:f>'Time series Females'!$B$1:$K$1</c:f>
              <c:strCache>
                <c:ptCount val="10"/>
                <c:pt idx="0">
                  <c:v>2001-3</c:v>
                </c:pt>
                <c:pt idx="1">
                  <c:v>2002-4</c:v>
                </c:pt>
                <c:pt idx="2">
                  <c:v>2003-5</c:v>
                </c:pt>
                <c:pt idx="3">
                  <c:v>2004-6</c:v>
                </c:pt>
                <c:pt idx="4">
                  <c:v>2005-7</c:v>
                </c:pt>
                <c:pt idx="5">
                  <c:v>2006-8</c:v>
                </c:pt>
                <c:pt idx="6">
                  <c:v>2007-9</c:v>
                </c:pt>
                <c:pt idx="7">
                  <c:v>2008-10</c:v>
                </c:pt>
                <c:pt idx="8">
                  <c:v>2009-11</c:v>
                </c:pt>
                <c:pt idx="9">
                  <c:v>2010-12</c:v>
                </c:pt>
              </c:strCache>
            </c:strRef>
          </c:cat>
          <c:val>
            <c:numRef>
              <c:f>'Time series Females'!$B$2:$K$2</c:f>
              <c:numCache>
                <c:formatCode>0.00</c:formatCode>
                <c:ptCount val="10"/>
                <c:pt idx="0">
                  <c:v>81.850189358434875</c:v>
                </c:pt>
                <c:pt idx="1">
                  <c:v>82.023799792642265</c:v>
                </c:pt>
                <c:pt idx="2">
                  <c:v>82.130139684278291</c:v>
                </c:pt>
                <c:pt idx="3">
                  <c:v>82.277579936761882</c:v>
                </c:pt>
                <c:pt idx="4">
                  <c:v>82.404553742449536</c:v>
                </c:pt>
                <c:pt idx="5">
                  <c:v>82.768960719279363</c:v>
                </c:pt>
                <c:pt idx="6">
                  <c:v>83.189237494316444</c:v>
                </c:pt>
                <c:pt idx="7">
                  <c:v>83.466585537022766</c:v>
                </c:pt>
                <c:pt idx="8">
                  <c:v>83.806761484635942</c:v>
                </c:pt>
                <c:pt idx="9">
                  <c:v>83.878942541398317</c:v>
                </c:pt>
              </c:numCache>
            </c:numRef>
          </c:val>
          <c:smooth val="0"/>
        </c:ser>
        <c:ser>
          <c:idx val="1"/>
          <c:order val="1"/>
          <c:tx>
            <c:strRef>
              <c:f>'Time series Females'!$A$3</c:f>
              <c:strCache>
                <c:ptCount val="1"/>
                <c:pt idx="0">
                  <c:v>Adur</c:v>
                </c:pt>
              </c:strCache>
            </c:strRef>
          </c:tx>
          <c:marker>
            <c:symbol val="none"/>
          </c:marker>
          <c:cat>
            <c:strRef>
              <c:f>'Time series Females'!$B$1:$K$1</c:f>
              <c:strCache>
                <c:ptCount val="10"/>
                <c:pt idx="0">
                  <c:v>2001-3</c:v>
                </c:pt>
                <c:pt idx="1">
                  <c:v>2002-4</c:v>
                </c:pt>
                <c:pt idx="2">
                  <c:v>2003-5</c:v>
                </c:pt>
                <c:pt idx="3">
                  <c:v>2004-6</c:v>
                </c:pt>
                <c:pt idx="4">
                  <c:v>2005-7</c:v>
                </c:pt>
                <c:pt idx="5">
                  <c:v>2006-8</c:v>
                </c:pt>
                <c:pt idx="6">
                  <c:v>2007-9</c:v>
                </c:pt>
                <c:pt idx="7">
                  <c:v>2008-10</c:v>
                </c:pt>
                <c:pt idx="8">
                  <c:v>2009-11</c:v>
                </c:pt>
                <c:pt idx="9">
                  <c:v>2010-12</c:v>
                </c:pt>
              </c:strCache>
            </c:strRef>
          </c:cat>
          <c:val>
            <c:numRef>
              <c:f>'Time series Females'!$B$3:$K$3</c:f>
              <c:numCache>
                <c:formatCode>0.00</c:formatCode>
                <c:ptCount val="10"/>
                <c:pt idx="0">
                  <c:v>82.486394793696078</c:v>
                </c:pt>
                <c:pt idx="1">
                  <c:v>81.959820588989018</c:v>
                </c:pt>
                <c:pt idx="2">
                  <c:v>81.438546137291368</c:v>
                </c:pt>
                <c:pt idx="3">
                  <c:v>81.251029351596387</c:v>
                </c:pt>
                <c:pt idx="4">
                  <c:v>81.151525093394625</c:v>
                </c:pt>
                <c:pt idx="5">
                  <c:v>81.498060668816365</c:v>
                </c:pt>
                <c:pt idx="6">
                  <c:v>82.253211052660632</c:v>
                </c:pt>
                <c:pt idx="7">
                  <c:v>82.89210686116553</c:v>
                </c:pt>
                <c:pt idx="8">
                  <c:v>83.395816619746654</c:v>
                </c:pt>
                <c:pt idx="9">
                  <c:v>83.358450369655429</c:v>
                </c:pt>
              </c:numCache>
            </c:numRef>
          </c:val>
          <c:smooth val="0"/>
        </c:ser>
        <c:ser>
          <c:idx val="2"/>
          <c:order val="2"/>
          <c:tx>
            <c:strRef>
              <c:f>'Time series Females'!$A$4</c:f>
              <c:strCache>
                <c:ptCount val="1"/>
                <c:pt idx="0">
                  <c:v>Arun</c:v>
                </c:pt>
              </c:strCache>
            </c:strRef>
          </c:tx>
          <c:marker>
            <c:symbol val="none"/>
          </c:marker>
          <c:cat>
            <c:strRef>
              <c:f>'Time series Females'!$B$1:$K$1</c:f>
              <c:strCache>
                <c:ptCount val="10"/>
                <c:pt idx="0">
                  <c:v>2001-3</c:v>
                </c:pt>
                <c:pt idx="1">
                  <c:v>2002-4</c:v>
                </c:pt>
                <c:pt idx="2">
                  <c:v>2003-5</c:v>
                </c:pt>
                <c:pt idx="3">
                  <c:v>2004-6</c:v>
                </c:pt>
                <c:pt idx="4">
                  <c:v>2005-7</c:v>
                </c:pt>
                <c:pt idx="5">
                  <c:v>2006-8</c:v>
                </c:pt>
                <c:pt idx="6">
                  <c:v>2007-9</c:v>
                </c:pt>
                <c:pt idx="7">
                  <c:v>2008-10</c:v>
                </c:pt>
                <c:pt idx="8">
                  <c:v>2009-11</c:v>
                </c:pt>
                <c:pt idx="9">
                  <c:v>2010-12</c:v>
                </c:pt>
              </c:strCache>
            </c:strRef>
          </c:cat>
          <c:val>
            <c:numRef>
              <c:f>'Time series Females'!$B$4:$K$4</c:f>
              <c:numCache>
                <c:formatCode>0.00</c:formatCode>
                <c:ptCount val="10"/>
                <c:pt idx="0">
                  <c:v>81.858843117914375</c:v>
                </c:pt>
                <c:pt idx="1">
                  <c:v>81.911283076138801</c:v>
                </c:pt>
                <c:pt idx="2">
                  <c:v>82.22787687948329</c:v>
                </c:pt>
                <c:pt idx="3">
                  <c:v>82.073488511057434</c:v>
                </c:pt>
                <c:pt idx="4">
                  <c:v>82.160461984226075</c:v>
                </c:pt>
                <c:pt idx="5">
                  <c:v>82.362193190203158</c:v>
                </c:pt>
                <c:pt idx="6">
                  <c:v>82.981637986379326</c:v>
                </c:pt>
                <c:pt idx="7">
                  <c:v>83.25365113624413</c:v>
                </c:pt>
                <c:pt idx="8">
                  <c:v>83.652786011494442</c:v>
                </c:pt>
                <c:pt idx="9">
                  <c:v>83.520991443445922</c:v>
                </c:pt>
              </c:numCache>
            </c:numRef>
          </c:val>
          <c:smooth val="0"/>
        </c:ser>
        <c:ser>
          <c:idx val="3"/>
          <c:order val="3"/>
          <c:tx>
            <c:strRef>
              <c:f>'Time series Females'!$A$5</c:f>
              <c:strCache>
                <c:ptCount val="1"/>
                <c:pt idx="0">
                  <c:v>Chichester</c:v>
                </c:pt>
              </c:strCache>
            </c:strRef>
          </c:tx>
          <c:marker>
            <c:symbol val="none"/>
          </c:marker>
          <c:cat>
            <c:strRef>
              <c:f>'Time series Females'!$B$1:$K$1</c:f>
              <c:strCache>
                <c:ptCount val="10"/>
                <c:pt idx="0">
                  <c:v>2001-3</c:v>
                </c:pt>
                <c:pt idx="1">
                  <c:v>2002-4</c:v>
                </c:pt>
                <c:pt idx="2">
                  <c:v>2003-5</c:v>
                </c:pt>
                <c:pt idx="3">
                  <c:v>2004-6</c:v>
                </c:pt>
                <c:pt idx="4">
                  <c:v>2005-7</c:v>
                </c:pt>
                <c:pt idx="5">
                  <c:v>2006-8</c:v>
                </c:pt>
                <c:pt idx="6">
                  <c:v>2007-9</c:v>
                </c:pt>
                <c:pt idx="7">
                  <c:v>2008-10</c:v>
                </c:pt>
                <c:pt idx="8">
                  <c:v>2009-11</c:v>
                </c:pt>
                <c:pt idx="9">
                  <c:v>2010-12</c:v>
                </c:pt>
              </c:strCache>
            </c:strRef>
          </c:cat>
          <c:val>
            <c:numRef>
              <c:f>'Time series Females'!$B$5:$K$5</c:f>
              <c:numCache>
                <c:formatCode>0.00</c:formatCode>
                <c:ptCount val="10"/>
                <c:pt idx="0">
                  <c:v>82.28799736919477</c:v>
                </c:pt>
                <c:pt idx="1">
                  <c:v>82.575140411067295</c:v>
                </c:pt>
                <c:pt idx="2">
                  <c:v>82.780768475895627</c:v>
                </c:pt>
                <c:pt idx="3">
                  <c:v>82.894768748489057</c:v>
                </c:pt>
                <c:pt idx="4">
                  <c:v>82.598160459886543</c:v>
                </c:pt>
                <c:pt idx="5">
                  <c:v>83.075736185496865</c:v>
                </c:pt>
                <c:pt idx="6">
                  <c:v>83.57307040033939</c:v>
                </c:pt>
                <c:pt idx="7">
                  <c:v>84.512423742874745</c:v>
                </c:pt>
                <c:pt idx="8">
                  <c:v>84.392297871982692</c:v>
                </c:pt>
                <c:pt idx="9">
                  <c:v>84.591433977881522</c:v>
                </c:pt>
              </c:numCache>
            </c:numRef>
          </c:val>
          <c:smooth val="0"/>
        </c:ser>
        <c:ser>
          <c:idx val="4"/>
          <c:order val="4"/>
          <c:tx>
            <c:strRef>
              <c:f>'Time series Females'!$A$6</c:f>
              <c:strCache>
                <c:ptCount val="1"/>
                <c:pt idx="0">
                  <c:v>Crawley</c:v>
                </c:pt>
              </c:strCache>
            </c:strRef>
          </c:tx>
          <c:marker>
            <c:symbol val="none"/>
          </c:marker>
          <c:cat>
            <c:strRef>
              <c:f>'Time series Females'!$B$1:$K$1</c:f>
              <c:strCache>
                <c:ptCount val="10"/>
                <c:pt idx="0">
                  <c:v>2001-3</c:v>
                </c:pt>
                <c:pt idx="1">
                  <c:v>2002-4</c:v>
                </c:pt>
                <c:pt idx="2">
                  <c:v>2003-5</c:v>
                </c:pt>
                <c:pt idx="3">
                  <c:v>2004-6</c:v>
                </c:pt>
                <c:pt idx="4">
                  <c:v>2005-7</c:v>
                </c:pt>
                <c:pt idx="5">
                  <c:v>2006-8</c:v>
                </c:pt>
                <c:pt idx="6">
                  <c:v>2007-9</c:v>
                </c:pt>
                <c:pt idx="7">
                  <c:v>2008-10</c:v>
                </c:pt>
                <c:pt idx="8">
                  <c:v>2009-11</c:v>
                </c:pt>
                <c:pt idx="9">
                  <c:v>2010-12</c:v>
                </c:pt>
              </c:strCache>
            </c:strRef>
          </c:cat>
          <c:val>
            <c:numRef>
              <c:f>'Time series Females'!$B$6:$K$6</c:f>
              <c:numCache>
                <c:formatCode>0.00</c:formatCode>
                <c:ptCount val="10"/>
                <c:pt idx="0">
                  <c:v>80.911135732326528</c:v>
                </c:pt>
                <c:pt idx="1">
                  <c:v>81.590869998898057</c:v>
                </c:pt>
                <c:pt idx="2">
                  <c:v>81.849351898197654</c:v>
                </c:pt>
                <c:pt idx="3">
                  <c:v>82.439154983907414</c:v>
                </c:pt>
                <c:pt idx="4">
                  <c:v>83.31571290876542</c:v>
                </c:pt>
                <c:pt idx="5">
                  <c:v>83.848349244688009</c:v>
                </c:pt>
                <c:pt idx="6">
                  <c:v>83.929930763428885</c:v>
                </c:pt>
                <c:pt idx="7">
                  <c:v>83.259983731634193</c:v>
                </c:pt>
                <c:pt idx="8">
                  <c:v>83.649654265448603</c:v>
                </c:pt>
                <c:pt idx="9">
                  <c:v>83.563565172217352</c:v>
                </c:pt>
              </c:numCache>
            </c:numRef>
          </c:val>
          <c:smooth val="0"/>
        </c:ser>
        <c:ser>
          <c:idx val="5"/>
          <c:order val="5"/>
          <c:tx>
            <c:strRef>
              <c:f>'Time series Females'!$A$7</c:f>
              <c:strCache>
                <c:ptCount val="1"/>
                <c:pt idx="0">
                  <c:v>Horsham</c:v>
                </c:pt>
              </c:strCache>
            </c:strRef>
          </c:tx>
          <c:marker>
            <c:symbol val="none"/>
          </c:marker>
          <c:cat>
            <c:strRef>
              <c:f>'Time series Females'!$B$1:$K$1</c:f>
              <c:strCache>
                <c:ptCount val="10"/>
                <c:pt idx="0">
                  <c:v>2001-3</c:v>
                </c:pt>
                <c:pt idx="1">
                  <c:v>2002-4</c:v>
                </c:pt>
                <c:pt idx="2">
                  <c:v>2003-5</c:v>
                </c:pt>
                <c:pt idx="3">
                  <c:v>2004-6</c:v>
                </c:pt>
                <c:pt idx="4">
                  <c:v>2005-7</c:v>
                </c:pt>
                <c:pt idx="5">
                  <c:v>2006-8</c:v>
                </c:pt>
                <c:pt idx="6">
                  <c:v>2007-9</c:v>
                </c:pt>
                <c:pt idx="7">
                  <c:v>2008-10</c:v>
                </c:pt>
                <c:pt idx="8">
                  <c:v>2009-11</c:v>
                </c:pt>
                <c:pt idx="9">
                  <c:v>2010-12</c:v>
                </c:pt>
              </c:strCache>
            </c:strRef>
          </c:cat>
          <c:val>
            <c:numRef>
              <c:f>'Time series Females'!$B$7:$K$7</c:f>
              <c:numCache>
                <c:formatCode>0.00</c:formatCode>
                <c:ptCount val="10"/>
                <c:pt idx="0">
                  <c:v>82.818007826997587</c:v>
                </c:pt>
                <c:pt idx="1">
                  <c:v>82.826325391372123</c:v>
                </c:pt>
                <c:pt idx="2">
                  <c:v>83.246120882492917</c:v>
                </c:pt>
                <c:pt idx="3">
                  <c:v>83.309202528942819</c:v>
                </c:pt>
                <c:pt idx="4">
                  <c:v>83.153651768787526</c:v>
                </c:pt>
                <c:pt idx="5">
                  <c:v>83.186335541384253</c:v>
                </c:pt>
                <c:pt idx="6">
                  <c:v>83.46829084862469</c:v>
                </c:pt>
                <c:pt idx="7">
                  <c:v>83.995389824522263</c:v>
                </c:pt>
                <c:pt idx="8">
                  <c:v>84.649503584404385</c:v>
                </c:pt>
                <c:pt idx="9">
                  <c:v>84.411724373642528</c:v>
                </c:pt>
              </c:numCache>
            </c:numRef>
          </c:val>
          <c:smooth val="0"/>
        </c:ser>
        <c:ser>
          <c:idx val="6"/>
          <c:order val="6"/>
          <c:tx>
            <c:strRef>
              <c:f>'Time series Females'!$A$8</c:f>
              <c:strCache>
                <c:ptCount val="1"/>
                <c:pt idx="0">
                  <c:v>Mid Sussex</c:v>
                </c:pt>
              </c:strCache>
            </c:strRef>
          </c:tx>
          <c:marker>
            <c:symbol val="none"/>
          </c:marker>
          <c:cat>
            <c:strRef>
              <c:f>'Time series Females'!$B$1:$K$1</c:f>
              <c:strCache>
                <c:ptCount val="10"/>
                <c:pt idx="0">
                  <c:v>2001-3</c:v>
                </c:pt>
                <c:pt idx="1">
                  <c:v>2002-4</c:v>
                </c:pt>
                <c:pt idx="2">
                  <c:v>2003-5</c:v>
                </c:pt>
                <c:pt idx="3">
                  <c:v>2004-6</c:v>
                </c:pt>
                <c:pt idx="4">
                  <c:v>2005-7</c:v>
                </c:pt>
                <c:pt idx="5">
                  <c:v>2006-8</c:v>
                </c:pt>
                <c:pt idx="6">
                  <c:v>2007-9</c:v>
                </c:pt>
                <c:pt idx="7">
                  <c:v>2008-10</c:v>
                </c:pt>
                <c:pt idx="8">
                  <c:v>2009-11</c:v>
                </c:pt>
                <c:pt idx="9">
                  <c:v>2010-12</c:v>
                </c:pt>
              </c:strCache>
            </c:strRef>
          </c:cat>
          <c:val>
            <c:numRef>
              <c:f>'Time series Females'!$B$8:$K$8</c:f>
              <c:numCache>
                <c:formatCode>0.00</c:formatCode>
                <c:ptCount val="10"/>
                <c:pt idx="0">
                  <c:v>81.594729012091221</c:v>
                </c:pt>
                <c:pt idx="1">
                  <c:v>81.90778694351657</c:v>
                </c:pt>
                <c:pt idx="2">
                  <c:v>82.019025257587188</c:v>
                </c:pt>
                <c:pt idx="3">
                  <c:v>82.280596269956405</c:v>
                </c:pt>
                <c:pt idx="4">
                  <c:v>82.841929123564142</c:v>
                </c:pt>
                <c:pt idx="5">
                  <c:v>83.341157981387141</c:v>
                </c:pt>
                <c:pt idx="6">
                  <c:v>83.589196396143549</c:v>
                </c:pt>
                <c:pt idx="7">
                  <c:v>83.581776072438885</c:v>
                </c:pt>
                <c:pt idx="8">
                  <c:v>83.818485995089375</c:v>
                </c:pt>
                <c:pt idx="9">
                  <c:v>84.242107870306597</c:v>
                </c:pt>
              </c:numCache>
            </c:numRef>
          </c:val>
          <c:smooth val="0"/>
        </c:ser>
        <c:ser>
          <c:idx val="7"/>
          <c:order val="7"/>
          <c:tx>
            <c:strRef>
              <c:f>'Time series Females'!$A$9</c:f>
              <c:strCache>
                <c:ptCount val="1"/>
                <c:pt idx="0">
                  <c:v>Worthing</c:v>
                </c:pt>
              </c:strCache>
            </c:strRef>
          </c:tx>
          <c:marker>
            <c:symbol val="none"/>
          </c:marker>
          <c:cat>
            <c:strRef>
              <c:f>'Time series Females'!$B$1:$K$1</c:f>
              <c:strCache>
                <c:ptCount val="10"/>
                <c:pt idx="0">
                  <c:v>2001-3</c:v>
                </c:pt>
                <c:pt idx="1">
                  <c:v>2002-4</c:v>
                </c:pt>
                <c:pt idx="2">
                  <c:v>2003-5</c:v>
                </c:pt>
                <c:pt idx="3">
                  <c:v>2004-6</c:v>
                </c:pt>
                <c:pt idx="4">
                  <c:v>2005-7</c:v>
                </c:pt>
                <c:pt idx="5">
                  <c:v>2006-8</c:v>
                </c:pt>
                <c:pt idx="6">
                  <c:v>2007-9</c:v>
                </c:pt>
                <c:pt idx="7">
                  <c:v>2008-10</c:v>
                </c:pt>
                <c:pt idx="8">
                  <c:v>2009-11</c:v>
                </c:pt>
                <c:pt idx="9">
                  <c:v>2010-12</c:v>
                </c:pt>
              </c:strCache>
            </c:strRef>
          </c:cat>
          <c:val>
            <c:numRef>
              <c:f>'Time series Females'!$B$9:$K$9</c:f>
              <c:numCache>
                <c:formatCode>0.00</c:formatCode>
                <c:ptCount val="10"/>
                <c:pt idx="0">
                  <c:v>81.065713452644474</c:v>
                </c:pt>
                <c:pt idx="1">
                  <c:v>81.160269684411318</c:v>
                </c:pt>
                <c:pt idx="2">
                  <c:v>80.727761322112983</c:v>
                </c:pt>
                <c:pt idx="3">
                  <c:v>81.320884112883249</c:v>
                </c:pt>
                <c:pt idx="4">
                  <c:v>81.367198138239118</c:v>
                </c:pt>
                <c:pt idx="5">
                  <c:v>81.876807126833995</c:v>
                </c:pt>
                <c:pt idx="6">
                  <c:v>82.253983021015998</c:v>
                </c:pt>
                <c:pt idx="7">
                  <c:v>82.363735943633145</c:v>
                </c:pt>
                <c:pt idx="8">
                  <c:v>82.904408758832417</c:v>
                </c:pt>
                <c:pt idx="9">
                  <c:v>83.10198271697152</c:v>
                </c:pt>
              </c:numCache>
            </c:numRef>
          </c:val>
          <c:smooth val="0"/>
        </c:ser>
        <c:dLbls>
          <c:showLegendKey val="0"/>
          <c:showVal val="0"/>
          <c:showCatName val="0"/>
          <c:showSerName val="0"/>
          <c:showPercent val="0"/>
          <c:showBubbleSize val="0"/>
        </c:dLbls>
        <c:marker val="1"/>
        <c:smooth val="0"/>
        <c:axId val="119841920"/>
        <c:axId val="119843840"/>
      </c:lineChart>
      <c:catAx>
        <c:axId val="119841920"/>
        <c:scaling>
          <c:orientation val="minMax"/>
        </c:scaling>
        <c:delete val="0"/>
        <c:axPos val="b"/>
        <c:title>
          <c:tx>
            <c:rich>
              <a:bodyPr/>
              <a:lstStyle/>
              <a:p>
                <a:pPr>
                  <a:defRPr/>
                </a:pPr>
                <a:r>
                  <a:rPr lang="en-GB"/>
                  <a:t>Years</a:t>
                </a:r>
              </a:p>
            </c:rich>
          </c:tx>
          <c:overlay val="0"/>
        </c:title>
        <c:majorTickMark val="out"/>
        <c:minorTickMark val="none"/>
        <c:tickLblPos val="nextTo"/>
        <c:crossAx val="119843840"/>
        <c:crosses val="autoZero"/>
        <c:auto val="1"/>
        <c:lblAlgn val="ctr"/>
        <c:lblOffset val="100"/>
        <c:noMultiLvlLbl val="0"/>
      </c:catAx>
      <c:valAx>
        <c:axId val="119843840"/>
        <c:scaling>
          <c:orientation val="minMax"/>
          <c:max val="85"/>
          <c:min val="80"/>
        </c:scaling>
        <c:delete val="0"/>
        <c:axPos val="l"/>
        <c:majorGridlines/>
        <c:title>
          <c:tx>
            <c:rich>
              <a:bodyPr rot="-5400000" vert="horz"/>
              <a:lstStyle/>
              <a:p>
                <a:pPr>
                  <a:defRPr/>
                </a:pPr>
                <a:r>
                  <a:rPr lang="en-GB"/>
                  <a:t>Life Expectancy at Birth</a:t>
                </a:r>
              </a:p>
            </c:rich>
          </c:tx>
          <c:overlay val="0"/>
        </c:title>
        <c:numFmt formatCode="0" sourceLinked="0"/>
        <c:majorTickMark val="out"/>
        <c:minorTickMark val="none"/>
        <c:tickLblPos val="nextTo"/>
        <c:crossAx val="119841920"/>
        <c:crosses val="autoZero"/>
        <c:crossBetween val="between"/>
        <c:majorUnit val="1"/>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'1-2-3-4-5-6'!$C$19</c:f>
              <c:strCache>
                <c:ptCount val="1"/>
                <c:pt idx="0">
                  <c:v>LE (2001-06)</c:v>
                </c:pt>
              </c:strCache>
            </c:strRef>
          </c:tx>
          <c:marker>
            <c:symbol val="none"/>
          </c:marker>
          <c:trendline>
            <c:trendlineType val="linear"/>
            <c:dispRSqr val="0"/>
            <c:dispEq val="1"/>
            <c:trendlineLbl>
              <c:layout>
                <c:manualLayout>
                  <c:x val="0.3036955380577428"/>
                  <c:y val="2.8118620589093032E-2"/>
                </c:manualLayout>
              </c:layout>
              <c:numFmt formatCode="General" sourceLinked="0"/>
            </c:trendlineLbl>
          </c:trendline>
          <c:val>
            <c:numRef>
              <c:f>'1-2-3-4-5-6'!$C$20:$C$29</c:f>
              <c:numCache>
                <c:formatCode>0.00</c:formatCode>
                <c:ptCount val="10"/>
                <c:pt idx="0">
                  <c:v>75.74551183950193</c:v>
                </c:pt>
                <c:pt idx="1">
                  <c:v>78.340313263225624</c:v>
                </c:pt>
                <c:pt idx="2">
                  <c:v>79.882727264487627</c:v>
                </c:pt>
                <c:pt idx="3">
                  <c:v>79.679469533800571</c:v>
                </c:pt>
                <c:pt idx="4">
                  <c:v>80.9891276548056</c:v>
                </c:pt>
                <c:pt idx="5">
                  <c:v>81.240505924894151</c:v>
                </c:pt>
                <c:pt idx="6">
                  <c:v>80.985567966373225</c:v>
                </c:pt>
                <c:pt idx="7">
                  <c:v>81.502436404474224</c:v>
                </c:pt>
                <c:pt idx="8">
                  <c:v>81.938796868998097</c:v>
                </c:pt>
                <c:pt idx="9">
                  <c:v>82.434339949031042</c:v>
                </c:pt>
              </c:numCache>
            </c:numRef>
          </c:val>
          <c:smooth val="0"/>
        </c:ser>
        <c:ser>
          <c:idx val="2"/>
          <c:order val="1"/>
          <c:tx>
            <c:strRef>
              <c:f>'1-2-3-4-5-6'!$D$19</c:f>
              <c:strCache>
                <c:ptCount val="1"/>
                <c:pt idx="0">
                  <c:v>LE (2007-10)</c:v>
                </c:pt>
              </c:strCache>
            </c:strRef>
          </c:tx>
          <c:marker>
            <c:symbol val="none"/>
          </c:marker>
          <c:trendline>
            <c:trendlineType val="linear"/>
            <c:dispRSqr val="0"/>
            <c:dispEq val="1"/>
            <c:trendlineLbl>
              <c:layout>
                <c:manualLayout>
                  <c:x val="0.30925109361329833"/>
                  <c:y val="4.1550014581510641E-3"/>
                </c:manualLayout>
              </c:layout>
              <c:numFmt formatCode="General" sourceLinked="0"/>
            </c:trendlineLbl>
          </c:trendline>
          <c:val>
            <c:numRef>
              <c:f>'1-2-3-4-5-6'!$D$20:$D$29</c:f>
              <c:numCache>
                <c:formatCode>0.00</c:formatCode>
                <c:ptCount val="10"/>
                <c:pt idx="0">
                  <c:v>76.912404645022917</c:v>
                </c:pt>
                <c:pt idx="1">
                  <c:v>79.601720371520841</c:v>
                </c:pt>
                <c:pt idx="2">
                  <c:v>81.192587820904109</c:v>
                </c:pt>
                <c:pt idx="3">
                  <c:v>81.170929749497731</c:v>
                </c:pt>
                <c:pt idx="4">
                  <c:v>82.021897358227747</c:v>
                </c:pt>
                <c:pt idx="5">
                  <c:v>83.278659706801164</c:v>
                </c:pt>
                <c:pt idx="6">
                  <c:v>82.613991135742808</c:v>
                </c:pt>
                <c:pt idx="7">
                  <c:v>82.525659613072563</c:v>
                </c:pt>
                <c:pt idx="8">
                  <c:v>84.471857625652333</c:v>
                </c:pt>
                <c:pt idx="9">
                  <c:v>84.477710838971845</c:v>
                </c:pt>
              </c:numCache>
            </c:numRef>
          </c:val>
          <c:smooth val="0"/>
        </c:ser>
        <c:dLbls>
          <c:showLegendKey val="0"/>
          <c:showVal val="0"/>
          <c:showCatName val="0"/>
          <c:showSerName val="0"/>
          <c:showPercent val="0"/>
          <c:showBubbleSize val="0"/>
        </c:dLbls>
        <c:marker val="1"/>
        <c:smooth val="0"/>
        <c:axId val="125180160"/>
        <c:axId val="135164288"/>
      </c:lineChart>
      <c:catAx>
        <c:axId val="125180160"/>
        <c:scaling>
          <c:orientation val="minMax"/>
        </c:scaling>
        <c:delete val="0"/>
        <c:axPos val="b"/>
        <c:title>
          <c:tx>
            <c:rich>
              <a:bodyPr/>
              <a:lstStyle/>
              <a:p>
                <a:pPr>
                  <a:defRPr/>
                </a:pPr>
                <a:r>
                  <a:rPr lang="en-GB"/>
                  <a:t>Deprivation Decile (IMD 2010)</a:t>
                </a:r>
              </a:p>
            </c:rich>
          </c:tx>
          <c:overlay val="0"/>
        </c:title>
        <c:majorTickMark val="out"/>
        <c:minorTickMark val="none"/>
        <c:tickLblPos val="nextTo"/>
        <c:crossAx val="135164288"/>
        <c:crosses val="autoZero"/>
        <c:auto val="1"/>
        <c:lblAlgn val="ctr"/>
        <c:lblOffset val="100"/>
        <c:noMultiLvlLbl val="0"/>
      </c:catAx>
      <c:valAx>
        <c:axId val="135164288"/>
        <c:scaling>
          <c:orientation val="minMax"/>
        </c:scaling>
        <c:delete val="0"/>
        <c:axPos val="l"/>
        <c:majorGridlines/>
        <c:title>
          <c:tx>
            <c:rich>
              <a:bodyPr rot="-5400000" vert="horz"/>
              <a:lstStyle/>
              <a:p>
                <a:pPr>
                  <a:defRPr/>
                </a:pPr>
                <a:r>
                  <a:rPr lang="en-GB"/>
                  <a:t>Life Expectancy at Birth</a:t>
                </a:r>
              </a:p>
            </c:rich>
          </c:tx>
          <c:overlay val="0"/>
        </c:title>
        <c:numFmt formatCode="0.00" sourceLinked="1"/>
        <c:majorTickMark val="out"/>
        <c:minorTickMark val="none"/>
        <c:tickLblPos val="nextTo"/>
        <c:crossAx val="1251801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63C1C-4858-4803-B3E7-B58A816C2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2219</Words>
  <Characters>11876</Characters>
  <Application>Microsoft Office Word</Application>
  <DocSecurity>0</DocSecurity>
  <Lines>212</Lines>
  <Paragraphs>83</Paragraphs>
  <ScaleCrop>false</ScaleCrop>
  <HeadingPairs>
    <vt:vector size="2" baseType="variant">
      <vt:variant>
        <vt:lpstr>Title</vt:lpstr>
      </vt:variant>
      <vt:variant>
        <vt:i4>1</vt:i4>
      </vt:variant>
    </vt:vector>
  </HeadingPairs>
  <TitlesOfParts>
    <vt:vector size="1" baseType="lpstr">
      <vt:lpstr/>
    </vt:vector>
  </TitlesOfParts>
  <Company>WSCC</Company>
  <LinksUpToDate>false</LinksUpToDate>
  <CharactersWithSpaces>14012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Maconachie</dc:creator>
  <cp:lastModifiedBy>Rachel Jevons</cp:lastModifiedBy>
  <cp:revision>2</cp:revision>
  <dcterms:created xsi:type="dcterms:W3CDTF">2015-10-02T13:16:00Z</dcterms:created>
  <dcterms:modified xsi:type="dcterms:W3CDTF">2015-10-02T13:16:00Z</dcterms:modified>
</cp:coreProperties>
</file>