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</w:pPr>
      <w: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국내 금융권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외산 솔루션 대체 전략 보고서</w:t>
      </w:r>
    </w:p>
    <w:p>
      <w:pPr>
        <w:pBdr>
          <w:bottom w:val="single" w:color="70AD47" w:sz="6" w:space="1"/>
        </w:pBdr>
        <w:spacing w:before="0" w:after="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Financial IT Cost Optimization &amp; Vendor Lock-in Elimination Strategy</w:t>
      </w:r>
    </w:p>
    <w:p>
      <w:pPr>
        <w:spacing w:before="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금융 IT 전략 컨설팅 | 기밀문서</w:t>
      </w:r>
    </w:p>
    <w:p>
      <w:pPr>
        <w:spacing w:before="0" w:after="240"/>
      </w:pPr>
      <w:r>
        <w:t xml:space="preserve"/>
      </w:r>
    </w:p>
    <w:p>
      <w:r>
        <w:br w:type="page"/>
      </w:r>
    </w:p>
    <w:p>
      <w:pPr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1. 기존 vs 대안 솔루션 비교 분석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18"/>
          <w:szCs w:val="18"/>
        </w:rPr>
        <w:t xml:space="preserve">아래 표는 현재 도입 중인 외산 솔루션별 대안을 1:1로 비교 분석한 결과입니다. 대안 선정은 1순위(국내 솔루션) → 2순위(가격 경쟁력 외산) → 3순위(오픈소스) 우선순위 로직에 따라 도출되었습니다.</w:t>
      </w:r>
    </w:p>
    <w:p>
      <w:pPr>
        <w:spacing w:before="0" w:after="80"/>
      </w:pPr>
      <w:r>
        <w:t xml:space="preserve"/>
      </w: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400"/>
        <w:gridCol w:w="2000"/>
        <w:gridCol w:w="1600"/>
        <w:gridCol w:w="2800"/>
        <w:gridCol w:w="2400"/>
        <w:gridCol w:w="248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 분류</w:t>
            </w:r>
          </w:p>
        </w:tc>
        <w:tc>
          <w:tcPr>
            <w:tcW w:type="dxa" w:w="1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솔루션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공급/기술지원사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대체 솔루션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대안 우선순위</w:t>
            </w:r>
          </w:p>
        </w:tc>
        <w:tc>
          <w:tcPr>
            <w:tcW w:type="dxa" w:w="2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요금제 정보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전환 이점</w:t>
            </w:r>
          </w:p>
        </w:tc>
        <w:tc>
          <w:tcPr>
            <w:tcW w:type="dxa" w:w="24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국내 도입 사례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OS / 인프라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RedHat OS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컴솔텍 등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Rocky Linux 9.x
(Community Edition)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3순위
(오픈소스)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라이선스비 $0
기술지원 MA: 서버당 연 50~100만 원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MA 비용 절감,
RHEL 1:1 호환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신한은행, 카카오뱅크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OS / 인프라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AWS Cloud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글로벌엔씨(MSP)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Naver Cloud /
NHN Cloud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1순위
(국내 솔루션)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vCPU 2/RAM 8GB 기준
월 약 9만~10.4만 원
(Pay-as-you-go)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국내 금융특화 존 운영,
CSAP 지원 기본 포함,
트래픽 비용 경쟁력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한화생명(네이버클라우드),
im데이터시스템(NHN cloud)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DBMS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Oracle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투썸데이타 등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Tibero 7
(국산)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1순위
(국내 솔루션)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클라우드 1vCPU당
월 6만(Standard)
~22만 원(Enterprise)
온프레미스: 코어 수 기반 협의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Oracle 호환성 높음,
MA 비용 약 40% 이상 절감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신한은행 (티베로 도입)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DBMS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Oracle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투썸데이타 등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PostgreSQL
(오픈소스)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3순위
(오픈소스)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라이선스 $0
(기술지원 시 부가 비용)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라이선스 비용 無,
기술역량 확보 시 최경제적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카카오뱅크 (Oracle→PostgreSQL)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SW 라이선스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MS-EA 계약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제니스클라우드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한컴독스(국산)
+ 하이브리드 전략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1순위
(국내 솔루션)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인당 월 10,900원
또는 연 99,000원
(MS-EA 대비 30~50% 저렴)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라이선스 비용 30~50% 절감,
핵심인원만 MS 365 유지
(하이브리드)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경남은행, BNK금융그룹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SW 라이선스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JetBrains
(IntelliJ)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VS Code
(오픈소스)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3순위
(오픈소스)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$0
(IntelliJ 연 70~90만 원/인 절감)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개발 생산성 유지,
핵심조직만 IntelliJ 선별 지급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현대카드, 토스뱅크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SW 라이선스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Zoom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Zoom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카카오워크(국산)
/ 네이버웍스(국산)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1순위
(국내 솔루션)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그룹웨어 포함
인당 월 약 1만 원
(Zoom 유료 대비 절감)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Zoom 대비 비용 절감,
국산 SaaS 보안 검증,
그룹웨어 통합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우리금융그룹(우리FIS),
미래에셋증권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가상화 / VDI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VMware (DaaS)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케이엔에스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Nutanix(외산)
/ Tmax HyperCloud(국산)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Nutanix: 2순위
Tmax: 1순위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Nutanix: 별도 가상화 라이선스 無
(AHV 내장), TCO 약 20% 이상 유리
Tmax: 외산 대비 도입·MA 비용 합리적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VMware 인수 후 가격 폭등 대응,
금융 보안 규제 최적화(Tmax)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비씨카드, 산업은행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WAS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JEUS / 웹투비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하나글로벌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Apache Tomcat
(오픈소스)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3순위
(오픈소스)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라이선스 $0
(기술지원 시 Core 기준 부가 비용)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클라우드 네이티브·MSA 최적,
라이선스 비용 대폭 절감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신한은행(차세대), 카카오뱅크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보안 솔루션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Fortify
(취약점 진단)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투비닉스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Sparrow Cloud
(국산 SAST/DAST)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1순위
(국내 솔루션)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분석 무제한 기준
연간 약 165만 원부터 시작
(외산 대비 도입·유지비 낮음)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신속한 기술지원,
KISA 기준 최적화 리포팅,
운영 인력 비용 절감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국민건강보험공단, 주요 보험사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보안 솔루션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FG-120G
(방화벽)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위드네트웍스 등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안랩 TrusGuard
/ 시큐아이 BLUEMAX(국산)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1순위
(국내 솔루션)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하드웨어 도입가
약 230~450만 원
(외산 대비 20~30% 저렴)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국내 CC인증 최적화,
외산 대비 현장 대응 신속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제2금융권(저축은행),
공공 금융망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생성형 AI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ChatGPT 등
AI 서비스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사내 구축형 LLM
(Llama 3 기반)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3순위
(오픈소스)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초기 인프라 구축 20억~50억 원 이상
(대규모 기준)
GPU 서버 인프라 구축비만 발생
(API 호출 과금 無)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금융 보안 가이드라인 준수,
장기 TCO 경쟁력
(대량 호출 시 ChatGPT 대비 우위)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현대차증권, KB금융그룹(KB-GPT)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2. TCO 절감 수치 및 기대 수익 분석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18"/>
          <w:szCs w:val="18"/>
        </w:rPr>
        <w:t xml:space="preserve">Part 1의 비교 분석을 근거로, 각 솔루션 전환 시 예상되는 5개년 TCO(총소유비용) 절감 효과 및 ROI를 분석합니다.</w:t>
      </w:r>
    </w:p>
    <w:p>
      <w:pPr>
        <w:spacing w:before="0" w:after="80"/>
      </w:pPr>
      <w:r>
        <w:t xml:space="preserve"/>
      </w: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800"/>
        <w:gridCol w:w="2600"/>
        <w:gridCol w:w="1400"/>
        <w:gridCol w:w="348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전환 영역</w:t>
            </w:r>
          </w:p>
        </w:tc>
        <w:tc>
          <w:tcPr>
            <w:tcW w:type="dxa" w:w="2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비용 구조</w:t>
            </w:r>
          </w:p>
        </w:tc>
        <w:tc>
          <w:tcPr>
            <w:tcW w:type="dxa" w:w="2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대안 비용 구조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5개년 예상 절감액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 수준</w:t>
            </w:r>
          </w:p>
        </w:tc>
        <w:tc>
          <w:tcPr>
            <w:tcW w:type="dxa" w:w="34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OS (RedHat → Rocky Linux)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서버 100대 기준
연 약 1억 5천만 원
(구독료)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기술지원 MA
연 약 5천만~1억 원
(서버당 50~100만 원)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약 2.5억~5억 원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낮음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RHEL 1:1 호환,
마이그레이션 리스크 최소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DBMS (Oracle → Tibero)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코어 기준
연 MA 비용 대규모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1vCPU 월 6만~22만 원,
MA 약 40% 이상 절감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MA 비용 40% 절감
(규모 따라 수억 원 이상)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Oracle 호환성 높음,
검증된 금융권 전환 사례 다수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DBMS (Oracle → PostgreSQL)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오라클 라이선스
+ MA 비용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라이선스 $0
(기술지원 부가)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라이선스 비용 전액 절감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높음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기술 역량 내재화 필수,
충분한 마이그레이션 준비 요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SW 라이선스 (MS-EA → 한컴 하이브리드)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MS-EA 전사 계약
(인당 월 수만 원 수준)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인당 월 10,900원
(핵심인원만 MS 365 유지)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약 30~50% 절감
(인원 규모 따라 수억~수십억)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낮음~중간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공공·금융 호환성 높음,
하이브리드 전략 현실적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IDE (IntelliJ → VS Code)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연 70~90만 원/인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$0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개발자 100인 기준
약 3.5억~4.5억 원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낮음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핵심 조직만 IntelliJ 선별 유지
생산성 영향 최소화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협업툴 (Zoom → 카카오워크/네이버웍스)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유료 호스트당
월 2~3만 원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그룹웨어 포함
인당 월 약 1만 원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인원 500명 기준
약 5년간 5억~8억 원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낮음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국산 SaaS 보안 검증,
망분리 완화 정책 대응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가상화 (VMware → Nutanix/Tmax)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Broadcom 인수 후
라이선스 비용 급등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TCO 약 20% 이상 유리
(AHV 가상화 라이선스 無)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VMware 갱신 대비
TCO 20% 이상 절감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검증된 금융권 전환 사례,
HCI 기반 안정성 확보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WAS (JEUS → Apache Tomcat)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유료 WAS 라이선스
+ MA 비용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라이선스 $0
(기술지원 부가)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라이선스·MA 비용
전액~대폭 절감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클라우드 네이티브·MSA 전환
시 기술지원 내재화 필수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보안 (Fortify → Sparrow)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외산 고단가
+ 느린 업데이트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연 165만 원부터
(외산 대비 대폭 저렴)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도입·유지 비용
수억 원 절감 가능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낮음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KISA 기준 리포팅,
국내 보안 컴플라이언스 최적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방화벽 (Fortinet → 안랩/시큐아이)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외산 도입가
및 MA 비용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도입가 230~450만 원
(외산 대비 20~30% 저렴)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교체 주기(5~7년)
기준 수억 원 절감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낮음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CC인증, 국내 위협정보
빠른 반영으로 운영 만족도 높음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생성형 AI (ChatGPT → 사내 LLM)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API 호출당 과금
(대량 호출 시 비용 급증)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초기 구축 20억~50억 원+
이후 추가 라이선스 無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장기(5년+) 대량 호출 시
ChatGPT API 대비 TCO 유리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높음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대규모 초기 투자 필요,
금융 보안 가이드라인 준수에 최적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2E75B6" w:sz="12" w:space="4"/>
        </w:pBdr>
        <w:shd w:fill="D6E4F0" w:val="clear"/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  [종합 ROI 요약]  </w:t>
      </w:r>
      <w:r>
        <w:rPr>
          <w:rFonts w:ascii="Arial" w:cs="Arial" w:eastAsia="Arial" w:hAnsi="Arial"/>
          <w:sz w:val="18"/>
          <w:szCs w:val="18"/>
        </w:rPr>
        <w:t xml:space="preserve">전사 전환 완료 시 5개년 누적 TCO 절감 효과는 규모에 따라 수십억 원 이상으로 추산되며, </w:t>
      </w:r>
      <w:r>
        <w:rPr>
          <w:rFonts w:ascii="Arial" w:cs="Arial" w:eastAsia="Arial" w:hAnsi="Arial"/>
          <w:sz w:val="18"/>
          <w:szCs w:val="18"/>
        </w:rPr>
        <w:t xml:space="preserve">특히 DBMS(Oracle), SW 라이선스(MS-EA), 가상화(VMware) 영역에서 절감 규모가 가장 크게 나타납니다.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초기 투자(LLM 구축 등)를 제외한 대부분의 전환 영역에서 1~2년 내 투자 회수(ROI)가 가능합니다.</w:t>
      </w:r>
    </w:p>
    <w:p>
      <w:r>
        <w:br w:type="page"/>
      </w:r>
    </w:p>
    <w:p>
      <w:pPr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3. 단계별 전환 로드맵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18"/>
          <w:szCs w:val="18"/>
        </w:rPr>
        <w:t xml:space="preserve">리스크 수준 및 전환 용이성을 기준으로 3단계 로드맵을 수립합니다. 낮은 리스크·빠른 효과 영역부터 순차 전환하여 조직의 전환 역량을 점진적으로 높입니다.</w:t>
      </w:r>
    </w:p>
    <w:p>
      <w:pPr>
        <w:spacing w:before="0" w:after="80"/>
      </w:pPr>
      <w:r>
        <w:t xml:space="preserve"/>
      </w: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8680"/>
        <w:gridCol w:w="40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전환 단계</w:t>
            </w:r>
          </w:p>
        </w:tc>
        <w:tc>
          <w:tcPr>
            <w:tcW w:type="dxa" w:w="3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전환 초점</w:t>
            </w:r>
          </w:p>
        </w:tc>
        <w:tc>
          <w:tcPr>
            <w:tcW w:type="dxa" w:w="86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전환 액션</w:t>
            </w:r>
          </w:p>
        </w:tc>
        <w:tc>
          <w:tcPr>
            <w:tcW w:type="dxa" w:w="4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Phase 1
(1~6개월)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즉시 전환 가능 영역
(Low Risk / Quick Win)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① IDE: IntelliJ → VS Code 전환 (핵심 조직만 IntelliJ 유지)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② 협업툴: Zoom → 카카오워크/네이버웍스 전환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③ OS: 신규 서버부터 Rocky Linux 적용 시작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④ 보안 진단: Fortify → Sparrow Cloud 전환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즉각적 라이선스·구독료 절감
Quick Win으로 내부 전환 동력 확보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Phase 2
(6~18개월)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중위험 핵심 인프라 전환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① SW 라이선스: MS-EA → 한컴독스 하이브리드 전환 (핵심 인원만 MS 365 유지)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② WAS: JEUS → Apache Tomcat 전환 (클라우드 네이티브 전환 연계)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③ DBMS: Oracle → Tibero 전환 (파일럿 시스템부터 단계적 적용)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④ 방화벽: 교체 주기 도래 장비부터 안랩/시큐아이로 전환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⑤ 가상화: VMware 갱신 검토 → Nutanix 또는 Tmax HyperCloud 전환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핵심 인프라 Vendor Lock-in 해소
주요 TCO 절감 효과 본격화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Phase 3
(18~36개월+)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고난도 전략적 전환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① DBMS: Oracle → PostgreSQL 전환 (기술 내재화 후 비핵심 시스템부터)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② 클라우드: AWS → Naver Cloud/NHN Cloud 전환 (금융 특화 존 활용)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③ 생성형 AI: 사내 구축형 LLM(Llama 3) 도입 (GPU 인프라 구축 포함)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외산 종속성 최소화,
장기 TCO 최적화 완성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4. 기술적·운영적 리스크 관리 방안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18"/>
          <w:szCs w:val="18"/>
        </w:rPr>
        <w:t xml:space="preserve">각 전환 영역별 주요 리스크를 식별하고, 마이그레이션 안정성·데이터 무결성·금융 보안 규제 준수 관점의 관리 방안을 제시합니다.</w:t>
      </w:r>
    </w:p>
    <w:p>
      <w:pPr>
        <w:spacing w:before="0" w:after="80"/>
      </w:pPr>
      <w:r>
        <w:t xml:space="preserve"/>
      </w: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600"/>
        <w:gridCol w:w="1028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전환 영역</w:t>
            </w:r>
          </w:p>
        </w:tc>
        <w:tc>
          <w:tcPr>
            <w:tcW w:type="dxa" w:w="3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리스크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 수준</w:t>
            </w:r>
          </w:p>
        </w:tc>
        <w:tc>
          <w:tcPr>
            <w:tcW w:type="dxa" w:w="102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 관리 방안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DBMS
(Oracle → Tibero/PostgreSQL)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데이터 무결성, SQL 방언 차이,
마이그레이션 오류 가능성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중~고</w:t>
            </w:r>
          </w:p>
        </w:tc>
        <w:tc>
          <w:tcPr>
            <w:tcW w:type="dxa" w:w="10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파일럿 시스템 우선 전환 후 검증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전문 마이그레이션 업체(투썸데이타 등) 협력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병행 운영(Parallel Run) 기간 확보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롤백 플랜 사전 수립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WAS
(JEUS → Tomcat)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트랜잭션 처리 안정성,
기술지원 내재화 역량 부족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10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전문 기술 인력 확보 또는 외부 기술지원 계약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클라우드 네이티브 전환과 연계하여 단계적 적용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장애 대응 매뉴얼 사전 수립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생성형 AI
(사내 LLM)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대규모 초기 투자(20억~50억 원+),
GPU 인프라 운영 역량 요구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높음</w:t>
            </w:r>
          </w:p>
        </w:tc>
        <w:tc>
          <w:tcPr>
            <w:tcW w:type="dxa" w:w="10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소규모 PoC(개념검증) 후 확대 투자 결정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외부 클라우드 GPU 인스턴스로 초기 비용 분산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금융 보안 가이드라인 준수 여부 법무·보안팀 사전 검토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금융 보안 규제
(공통)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CSAP, CC인증, KISA 가이드라인 등
규제 미준수 위험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10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전환 전 금융보안원, KISA 가이드라인 충족 여부 사전 확인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국산 솔루션(안랩, 시큐아이, Sparrow 등) 우선 선택으로 규제 리스크 최소화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외산 오픈소스 도입 시 CC인증 제품 우선 검토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OS
(RedHat → Rocky Linux)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커뮤니티 기반 오픈소스의
기업 기술지원 연속성 우려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낮음~중간</w:t>
            </w:r>
          </w:p>
        </w:tc>
        <w:tc>
          <w:tcPr>
            <w:tcW w:type="dxa" w:w="10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국내 MSP 또는 전문 기술지원 업체와 MA 계약 체결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서버당 연 50~100만 원 수준의 유지보수 계약으로 리스크 흡수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가상화
(VMware → Nutanix/Tmax)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기존 VM 마이그레이션 복잡성,
운영 환경 변경에 따른 안정성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10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교체 주기 도래 장비부터 단계적 전환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HCI 기반 검증된 금융권 레퍼런스 우선 참고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전환 기간 중 기존 VMware 환경 병행 유지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2E75B6" w:sz="12" w:space="4"/>
        </w:pBdr>
        <w:shd w:fill="D6E4F0" w:val="clear"/>
        <w:spacing w:before="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  [종합 리스크 관리 원칙]  </w:t>
      </w:r>
      <w:r>
        <w:rPr>
          <w:rFonts w:ascii="Arial" w:cs="Arial" w:eastAsia="Arial" w:hAnsi="Arial"/>
          <w:sz w:val="18"/>
          <w:szCs w:val="18"/>
        </w:rPr>
        <w:t xml:space="preserve">① 리스크가 낮은 영역부터 순차 전환(Phase 1 우선)하여 내부 역량을 축적합니다. </w:t>
      </w:r>
      <w:r>
        <w:rPr>
          <w:rFonts w:ascii="Arial" w:cs="Arial" w:eastAsia="Arial" w:hAnsi="Arial"/>
          <w:sz w:val="18"/>
          <w:szCs w:val="18"/>
        </w:rPr>
        <w:t xml:space="preserve">② 모든 전환 단계에서 금융보안원·KISA 가이드라인 사전 검토를 의무화합니다. </w:t>
      </w:r>
      <w:r>
        <w:rPr>
          <w:rFonts w:ascii="Arial" w:cs="Arial" w:eastAsia="Arial" w:hAnsi="Arial"/>
          <w:sz w:val="18"/>
          <w:szCs w:val="18"/>
        </w:rPr>
        <w:t xml:space="preserve">③ 병행 운영(Parallel Run) 및 롤백 플랜을 전환 계획에 필수 포함합니다.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④ 국산 솔루션 우선 선택으로 규제 리스크와 Vendor Lock-in 리스크를 동시에 최소화합니다.</w:t>
      </w:r>
    </w:p>
    <w:sectPr>
      <w:headerReference w:type="default" r:id="rId6"/>
      <w:footerReference w:type="default" r:id="rId7"/>
      <w:pgSz w:w="19840" w:h="140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CONFIDENTIAL  |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국내 금융권 외산 솔루션 대체 전략 보고서</w:t>
    </w:r>
    <w:r>
      <w:rPr>
        <w:rFonts w:ascii="Arial" w:cs="Arial" w:eastAsia="Arial" w:hAnsi="Arial"/>
        <w:color w:val="888888"/>
        <w:sz w:val="16"/>
        <w:szCs w:val="16"/>
      </w:rPr>
      <w:t xml:space="preserve">   |   금융 IT 전략 컨설팅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2026-03-10T06:42:43.414Z</dcterms:created>
  <dcterms:modified xsi:type="dcterms:W3CDTF">2026-03-10T06:42:43.415Z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