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before="0" w:after="100"/>
        <w:jc w:val="center"/>
      </w:pPr>
      <w:r>
        <w:rPr>
          <w:rFonts w:ascii="Arial" w:cs="Arial" w:eastAsia="Arial" w:hAnsi="Arial"/>
          <w:b/>
          <w:bCs/>
          <w:color w:val="1F4E79"/>
          <w:sz w:val="64"/>
          <w:szCs w:val="64"/>
        </w:rPr>
        <w:t xml:space="preserve">국내 금융권</w:t>
      </w:r>
    </w:p>
    <w:p>
      <w:pPr>
        <w:spacing w:before="0" w:after="100"/>
        <w:jc w:val="center"/>
      </w:pPr>
      <w:r>
        <w:rPr>
          <w:rFonts w:ascii="Arial" w:cs="Arial" w:eastAsia="Arial" w:hAnsi="Arial"/>
          <w:b/>
          <w:bCs/>
          <w:color w:val="2E75B6"/>
          <w:sz w:val="48"/>
          <w:szCs w:val="48"/>
        </w:rPr>
        <w:t xml:space="preserve">외산 솔루션 대체 전략 보고서</w:t>
      </w:r>
    </w:p>
    <w:p>
      <w:pPr>
        <w:spacing w:after="100"/>
      </w:pPr>
      <w:r>
        <w:t xml:space="preserve"/>
      </w:r>
    </w:p>
    <w:p>
      <w:pPr>
        <w:pBdr>
          <w:bottom w:val="single" w:color="2E75B6" w:sz="6" w:space="2"/>
        </w:pBdr>
        <w:spacing w:before="0" w:after="120"/>
        <w:jc w:val="center"/>
      </w:pPr>
      <w:r>
        <w:rPr>
          <w:rFonts w:ascii="Arial" w:cs="Arial" w:eastAsia="Arial" w:hAnsi="Arial"/>
          <w:i/>
          <w:iCs/>
          <w:color w:val="888888"/>
          <w:sz w:val="20"/>
          <w:szCs w:val="20"/>
        </w:rPr>
        <w:t xml:space="preserve">Financial IT Cost Optimization &amp; Vendor Lock-in Elimination Strategy</w:t>
      </w:r>
    </w:p>
    <w:p>
      <w:pPr>
        <w:spacing w:after="100"/>
      </w:pPr>
      <w:r>
        <w:t xml:space="preserve"/>
      </w:r>
    </w:p>
    <w:p>
      <w:pPr>
        <w:jc w:val="center"/>
      </w:pPr>
      <w:r>
        <w:rPr>
          <w:rFonts w:ascii="Arial" w:cs="Arial" w:eastAsia="Arial" w:hAnsi="Arial"/>
          <w:color w:val="595959"/>
          <w:sz w:val="19"/>
          <w:szCs w:val="19"/>
        </w:rPr>
        <w:t xml:space="preserve">금융 IT 전략 컨설팅  |  기밀문서</w:t>
      </w:r>
    </w:p>
    <w:p>
      <w:r>
        <w:br w:type="page"/>
      </w:r>
    </w:p>
    <w:p>
      <w:pPr>
        <w:pBdr>
          <w:bottom w:val="single" w:color="2E75B6" w:sz="8" w:space="2"/>
        </w:pBdr>
        <w:spacing w:before="440" w:after="100"/>
      </w:pPr>
      <w:r>
        <w:rPr>
          <w:rFonts w:ascii="Arial" w:cs="Arial" w:eastAsia="Arial" w:hAnsi="Arial"/>
          <w:b/>
          <w:bCs/>
          <w:color w:val="2E75B6"/>
          <w:sz w:val="28"/>
          <w:szCs w:val="28"/>
        </w:rPr>
        <w:t xml:space="preserve">Part 1.  </w:t>
      </w:r>
      <w:r>
        <w:rPr>
          <w:rFonts w:ascii="Arial" w:cs="Arial" w:eastAsia="Arial" w:hAnsi="Arial"/>
          <w:b/>
          <w:bCs/>
          <w:color w:val="1F4E79"/>
          <w:sz w:val="28"/>
          <w:szCs w:val="28"/>
        </w:rPr>
        <w:t xml:space="preserve">기존 vs 대안 솔루션 비교 분석</w:t>
      </w:r>
    </w:p>
    <w:p>
      <w:pPr>
        <w:spacing w:before="60" w:after="80"/>
        <w:jc w:val="both"/>
      </w:pPr>
      <w:r>
        <w:rPr>
          <w:rFonts w:ascii="Arial" w:cs="Arial" w:eastAsia="Arial" w:hAnsi="Arial"/>
          <w:b w:val="false"/>
          <w:bCs w:val="false"/>
          <w:i w:val="false"/>
          <w:iCs w:val="false"/>
          <w:color w:val="1F1F1F"/>
          <w:sz w:val="19"/>
          <w:szCs w:val="19"/>
        </w:rPr>
        <w:t xml:space="preserve">현재 국내 금융권이 운용 중인 외산 솔루션 12개 영역을 대상으로, 1순위(국내 솔루션) → 2순위(가격 경쟁력 외산) → 3순위(오픈소스) 우선순위 로직에 따라 최적 대안을 도출하였다. 아래 표는 각 영역의 기존 솔루션과 대안, 요금제 핵심, 국내 도입 사례를 1:1로 정리한 것이다.</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서비스 분류</w:t>
            </w:r>
          </w:p>
        </w:tc>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기존 → 대안 솔루션 (우선순위)</w:t>
            </w:r>
          </w:p>
        </w:tc>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요금제 핵심</w:t>
            </w:r>
          </w:p>
        </w:tc>
        <w:tc>
          <w:tcPr>
            <w:tcW w:type="dxa" w:w="2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국내 도입 사례</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OS / 인프라
RedHat 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RedHat OS → Rocky Linux 9.x
(오픈소스 · 3순위)</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라이선스 $0
기술지원 MA 서버당 연 50~100만 원</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신한은행, 카카오뱅크</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OS / 인프라
AWS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AWS Cloud → Naver Cloud / NHN Cloud
(국내 솔루션 · 1순위)</w:t>
            </w:r>
          </w:p>
        </w:tc>
        <w:tc>
          <w:tcPr>
            <w:tcW w:type="dxa" w:w="2800"/>
            <w:tcBorders>
              <w:top w:val="single" w:color="CCCCCC" w:sz="1"/>
              <w:left w:val="single" w:color="CCCCCC" w:sz="1"/>
              <w:bottom w:val="single" w:color="CCCCCC" w:sz="1"/>
              <w:right w:val="single" w:color="CCCCCC" w:sz="1"/>
            </w:tcBorders>
            <w:shd w:fill="F2FAF0"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vCPU 2 / RAM 8GB 기준
월 약 9만~10.4만 원 (Pay-as-you-go)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한화생명(네이버클라우드)
im데이터시스템(NHN Cloud)</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DBMS
Oracle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Oracle → Tibero 7
(국내 솔루션 · 1순위)</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1vCPU당 월 6만(Standard)
~22만 원(Enterprise)
온프레미스: 코어 수 기반 협의</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신한은행 (티베로 도입)</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DBMS
Oracle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Oracle → PostgreSQL
(오픈소스 · 3순위)</w:t>
            </w:r>
          </w:p>
        </w:tc>
        <w:tc>
          <w:tcPr>
            <w:tcW w:type="dxa" w:w="2800"/>
            <w:tcBorders>
              <w:top w:val="single" w:color="CCCCCC" w:sz="1"/>
              <w:left w:val="single" w:color="CCCCCC" w:sz="1"/>
              <w:bottom w:val="single" w:color="CCCCCC" w:sz="1"/>
              <w:right w:val="single" w:color="CCCCCC" w:sz="1"/>
            </w:tcBorders>
            <w:shd w:fill="F2FAF0"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라이선스 $0
(기술지원 시 부가 비용)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카카오뱅크
(Oracle→PostgreSQL 전환)</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SW 라이선스
MS-EA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MS-EA → 한컴독스 + 하이브리드
(국내 솔루션 · 1순위)</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인당 월 10,900원 / 연 99,000원
(MS-EA 대비 30~50% 저렴)</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경남은행, BNK금융그룹</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SW 라이선스
JetBrains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IntelliJ → VS Code
(오픈소스 · 3순위)</w:t>
            </w:r>
          </w:p>
        </w:tc>
        <w:tc>
          <w:tcPr>
            <w:tcW w:type="dxa" w:w="2800"/>
            <w:tcBorders>
              <w:top w:val="single" w:color="CCCCCC" w:sz="1"/>
              <w:left w:val="single" w:color="CCCCCC" w:sz="1"/>
              <w:bottom w:val="single" w:color="CCCCCC" w:sz="1"/>
              <w:right w:val="single" w:color="CCCCCC" w:sz="1"/>
            </w:tcBorders>
            <w:shd w:fill="F2FAF0"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$0
(IntelliJ 연 70~90만 원/인 절감)</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현대카드, 토스뱅크</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SW 라이선스
Zoom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Zoom → 카카오워크 / 네이버웍스
(국내 솔루션 · 1순위)</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그룹웨어 포함 인당 월 약 1만 원
(Zoom 유료 대비 절감)</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우리금융그룹(우리FIS)
미래에셋증권</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가상화 / VDI
VMware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VMware → Nutanix / Tmax HyperCloud
(Nutanix 2순위 / Tmax 1순위)</w:t>
            </w:r>
          </w:p>
        </w:tc>
        <w:tc>
          <w:tcPr>
            <w:tcW w:type="dxa" w:w="2800"/>
            <w:tcBorders>
              <w:top w:val="single" w:color="CCCCCC" w:sz="1"/>
              <w:left w:val="single" w:color="CCCCCC" w:sz="1"/>
              <w:bottom w:val="single" w:color="CCCCCC" w:sz="1"/>
              <w:right w:val="single" w:color="CCCCCC" w:sz="1"/>
            </w:tcBorders>
            <w:shd w:fill="F2FAF0"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Nutanix: 가상화 라이선스 無, TCO 약 20%↑유리
Tmax: 도입·MA 비용 외산 대비 합리적</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비씨카드, 산업은행</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WAS
JEUS/웹투비</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JEUS → Apache Tomcat
(오픈소스 · 3순위)</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라이선스 $0
(기술지원 시 Core 기준 부가)</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신한은행(차세대), 카카오뱅크</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보안
Fortify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Fortify → Sparrow Cloud
(국내 솔루션 · 1순위)</w:t>
            </w:r>
          </w:p>
        </w:tc>
        <w:tc>
          <w:tcPr>
            <w:tcW w:type="dxa" w:w="2800"/>
            <w:tcBorders>
              <w:top w:val="single" w:color="CCCCCC" w:sz="1"/>
              <w:left w:val="single" w:color="CCCCCC" w:sz="1"/>
              <w:bottom w:val="single" w:color="CCCCCC" w:sz="1"/>
              <w:right w:val="single" w:color="CCCCCC" w:sz="1"/>
            </w:tcBorders>
            <w:shd w:fill="F2FAF0"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분석 무제한 기준 연 약 165만 원~
(외산 대비 도입·유지비 낮음)</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국민건강보험공단, 주요 보험사</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보안
방화벽 FG-120G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Fortinet → 안랩 TrusGuard / 시큐아이 BLUEMAX
(국내 솔루션 · 1순위)</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하드웨어 도입가 약 230~450만 원
(외산 대비 20~30% 저렴)</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제2금융권(저축은행), 공공 금융망</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jc w:val="center"/>
            </w:pPr>
            <w:r>
              <w:rPr>
                <w:rFonts w:ascii="Arial" w:cs="Arial" w:eastAsia="Arial" w:hAnsi="Arial"/>
                <w:b/>
                <w:bCs/>
                <w:color w:val="1F1F1F"/>
                <w:sz w:val="17"/>
                <w:szCs w:val="17"/>
              </w:rPr>
              <w:t xml:space="preserve">생성형 AI
ChatGPT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ChatGPT → 사내 구축형 LLM(Llama 3)
(오픈소스 · 3순위)</w:t>
            </w:r>
          </w:p>
        </w:tc>
        <w:tc>
          <w:tcPr>
            <w:tcW w:type="dxa" w:w="2800"/>
            <w:tcBorders>
              <w:top w:val="single" w:color="CCCCCC" w:sz="1"/>
              <w:left w:val="single" w:color="CCCCCC" w:sz="1"/>
              <w:bottom w:val="single" w:color="CCCCCC" w:sz="1"/>
              <w:right w:val="single" w:color="CCCCCC" w:sz="1"/>
            </w:tcBorders>
            <w:shd w:fill="F2FAF0" w:val="clear"/>
            <w:tcMar>
              <w:top w:type="dxa" w:w="80"/>
              <w:left w:type="dxa" w:w="120"/>
              <w:bottom w:type="dxa" w:w="80"/>
              <w:right w:type="dxa" w:w="120"/>
            </w:tcMar>
            <w:vAlign w:val="top"/>
          </w:tcPr>
          <w:p>
            <w:pPr>
              <w:jc w:val="left"/>
            </w:pPr>
            <w:r>
              <w:rPr>
                <w:rFonts w:ascii="Arial" w:cs="Arial" w:eastAsia="Arial" w:hAnsi="Arial"/>
                <w:b w:val="false"/>
                <w:bCs w:val="false"/>
                <w:color w:val="1F1F1F"/>
                <w:sz w:val="17"/>
                <w:szCs w:val="17"/>
              </w:rPr>
              <w:t xml:space="preserve">초기 구축 약 20억~50억 원 이상
이후 API 과금 無 (GPU 인프라 유지비만)</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95959"/>
                <w:sz w:val="17"/>
                <w:szCs w:val="17"/>
              </w:rPr>
              <w:t xml:space="preserve">현대차증권, KB금융그룹(KB-GPT)</w:t>
            </w:r>
          </w:p>
        </w:tc>
      </w:tr>
    </w:tbl>
    <w:p>
      <w:r>
        <w:br w:type="page"/>
      </w:r>
    </w:p>
    <w:p>
      <w:pPr>
        <w:pBdr>
          <w:bottom w:val="single" w:color="2E75B6" w:sz="8" w:space="2"/>
        </w:pBdr>
        <w:spacing w:before="440" w:after="100"/>
      </w:pPr>
      <w:r>
        <w:rPr>
          <w:rFonts w:ascii="Arial" w:cs="Arial" w:eastAsia="Arial" w:hAnsi="Arial"/>
          <w:b/>
          <w:bCs/>
          <w:color w:val="2E75B6"/>
          <w:sz w:val="28"/>
          <w:szCs w:val="28"/>
        </w:rPr>
        <w:t xml:space="preserve">Part 2.  </w:t>
      </w:r>
      <w:r>
        <w:rPr>
          <w:rFonts w:ascii="Arial" w:cs="Arial" w:eastAsia="Arial" w:hAnsi="Arial"/>
          <w:b/>
          <w:bCs/>
          <w:color w:val="1F4E79"/>
          <w:sz w:val="28"/>
          <w:szCs w:val="28"/>
        </w:rPr>
        <w:t xml:space="preserve">TCO 절감 수치 및 기대 수익 분석</w:t>
      </w:r>
    </w:p>
    <w:p>
      <w:pPr>
        <w:spacing w:before="60" w:after="80"/>
        <w:jc w:val="both"/>
      </w:pPr>
      <w:r>
        <w:rPr>
          <w:rFonts w:ascii="Arial" w:cs="Arial" w:eastAsia="Arial" w:hAnsi="Arial"/>
          <w:b w:val="false"/>
          <w:bCs w:val="false"/>
          <w:i w:val="false"/>
          <w:iCs w:val="false"/>
          <w:color w:val="1F1F1F"/>
          <w:sz w:val="19"/>
          <w:szCs w:val="19"/>
        </w:rPr>
        <w:t xml:space="preserve">Part 1의 비교 분석을 근거로, 전환 영역별 5개년 TCO(총소유비용) 절감 효과와 ROI를 서술한다. 절감 규모는 크게 세 티어로 구분된다.</w:t>
      </w:r>
    </w:p>
    <w:p>
      <w:pPr>
        <w:spacing w:before="280" w:after="80"/>
      </w:pPr>
      <w:r>
        <w:rPr>
          <w:rFonts w:ascii="Arial" w:cs="Arial" w:eastAsia="Arial" w:hAnsi="Arial"/>
          <w:b/>
          <w:bCs/>
          <w:color w:val="1F4E79"/>
          <w:sz w:val="22"/>
          <w:szCs w:val="22"/>
        </w:rPr>
        <w:t xml:space="preserve">① 절감 규모 大 — 즉각적 투자 회수 가능 영역</w:t>
      </w:r>
    </w:p>
    <w:p>
      <w:pPr>
        <w:spacing w:before="60" w:after="80"/>
        <w:jc w:val="both"/>
      </w:pPr>
      <w:r>
        <w:rPr>
          <w:rFonts w:ascii="Arial" w:cs="Arial" w:eastAsia="Arial" w:hAnsi="Arial"/>
          <w:b w:val="false"/>
          <w:bCs w:val="false"/>
          <w:i w:val="false"/>
          <w:iCs w:val="false"/>
          <w:color w:val="1F1F1F"/>
          <w:sz w:val="19"/>
          <w:szCs w:val="19"/>
        </w:rPr>
        <w:t xml:space="preserve">DBMS(Oracle → Tibero)는 가장 활발하게 전환이 일어나는 영역이다. Tibero는 Oracle과의 호환성이 매우 높아 마이그레이션 리스크가 적으며, 유지보수(MA) 비용을 약 40% 이상 절감할 수 있다. 운용 규모에 따라 5개년 누적 절감액은 수억 원 이상으로 추산되며, 신한은행의 실제 전환 사례가 이를 뒷받침한다.</w:t>
      </w:r>
    </w:p>
    <w:p>
      <w:pPr>
        <w:spacing w:before="60" w:after="80"/>
        <w:jc w:val="both"/>
      </w:pPr>
      <w:r>
        <w:rPr>
          <w:rFonts w:ascii="Arial" w:cs="Arial" w:eastAsia="Arial" w:hAnsi="Arial"/>
          <w:b w:val="false"/>
          <w:bCs w:val="false"/>
          <w:i w:val="false"/>
          <w:iCs w:val="false"/>
          <w:color w:val="1F1F1F"/>
          <w:sz w:val="19"/>
          <w:szCs w:val="19"/>
        </w:rPr>
        <w:t xml:space="preserve">SW 라이선스(MS-EA → 한컴독스 하이브리드) 역시 절감 효과가 크다. 한컴독스는 MS-EA 대비 라이선스 비용이 30~50% 저렴하며(인당 월 10,900원 수준), 핵심 인원에게만 MS 365를 유지하는 하이브리드 전략을 병행할 경우 전사 도입 비용을 인당 월 1만 원 미만으로 통제할 수 있다. 인원 규모가 클수록 5개년 절감액은 수억~수십억 원에 달한다.</w:t>
      </w:r>
    </w:p>
    <w:p>
      <w:pPr>
        <w:spacing w:before="60" w:after="80"/>
        <w:jc w:val="both"/>
      </w:pPr>
      <w:r>
        <w:rPr>
          <w:rFonts w:ascii="Arial" w:cs="Arial" w:eastAsia="Arial" w:hAnsi="Arial"/>
          <w:b w:val="false"/>
          <w:bCs w:val="false"/>
          <w:i w:val="false"/>
          <w:iCs w:val="false"/>
          <w:color w:val="1F1F1F"/>
          <w:sz w:val="19"/>
          <w:szCs w:val="19"/>
        </w:rPr>
        <w:t xml:space="preserve">가상화(VMware → Nutanix/Tmax HyperCloud)는 Broadcom의 VMware 인수 이후 라이선스 비용이 급등하면서 전환 필요성이 더욱 커진 영역이다. Nutanix는 내장 하이퍼바이저(AHV)를 활용하면 별도의 가상화 라이선스 비용이 발생하지 않아 TCO 관점에서 VMware 대비 약 20% 이상 유리하다.</w:t>
      </w:r>
    </w:p>
    <w:p>
      <w:pPr>
        <w:spacing w:before="280" w:after="80"/>
      </w:pPr>
      <w:r>
        <w:rPr>
          <w:rFonts w:ascii="Arial" w:cs="Arial" w:eastAsia="Arial" w:hAnsi="Arial"/>
          <w:b/>
          <w:bCs/>
          <w:color w:val="1F4E79"/>
          <w:sz w:val="22"/>
          <w:szCs w:val="22"/>
        </w:rPr>
        <w:t xml:space="preserve">② 절감 규모 中 — 단계적 전환으로 효과 누적</w:t>
      </w:r>
    </w:p>
    <w:p>
      <w:pPr>
        <w:spacing w:before="60" w:after="80"/>
        <w:jc w:val="both"/>
      </w:pPr>
      <w:r>
        <w:rPr>
          <w:rFonts w:ascii="Arial" w:cs="Arial" w:eastAsia="Arial" w:hAnsi="Arial"/>
          <w:b w:val="false"/>
          <w:bCs w:val="false"/>
          <w:i w:val="false"/>
          <w:iCs w:val="false"/>
          <w:color w:val="1F1F1F"/>
          <w:sz w:val="19"/>
          <w:szCs w:val="19"/>
        </w:rPr>
        <w:t xml:space="preserve">협업툴(Zoom → 카카오워크/네이버웍스) 전환은 즉각적인 비용 절감과 함께 망분리 완화 정책 대응이라는 규제 측면의 부가 이점을 제공한다. Zoom의 유료 호스트당 월 2~3만 원 대비, 국산 SaaS 통합 패키지는 그룹웨어 포함 인당 월 약 1만 원 수준으로 통합 가능하다. 인원 500명 기준 5년간 약 5억~8억 원 절감이 기대된다.</w:t>
      </w:r>
    </w:p>
    <w:p>
      <w:pPr>
        <w:spacing w:before="60" w:after="80"/>
        <w:jc w:val="both"/>
      </w:pPr>
      <w:r>
        <w:rPr>
          <w:rFonts w:ascii="Arial" w:cs="Arial" w:eastAsia="Arial" w:hAnsi="Arial"/>
          <w:b w:val="false"/>
          <w:bCs w:val="false"/>
          <w:i w:val="false"/>
          <w:iCs w:val="false"/>
          <w:color w:val="1F1F1F"/>
          <w:sz w:val="19"/>
          <w:szCs w:val="19"/>
        </w:rPr>
        <w:t xml:space="preserve">IDE(IntelliJ → VS Code) 전환은 개발자 규모에 따라 큰 절감 효과를 낸다. IntelliJ Ultimate의 연간 라이선스(약 70~90만 원/인)를 VS Code($0)로 대체하면, 개발자 100인 기준 5년간 약 3.5억~4.5억 원을 절감할 수 있다. 생산성이 중요한 핵심 조직에 한해 IntelliJ를 선별 유지하는 방식이 현실적이다.</w:t>
      </w:r>
    </w:p>
    <w:p>
      <w:pPr>
        <w:spacing w:before="60" w:after="80"/>
        <w:jc w:val="both"/>
      </w:pPr>
      <w:r>
        <w:rPr>
          <w:rFonts w:ascii="Arial" w:cs="Arial" w:eastAsia="Arial" w:hAnsi="Arial"/>
          <w:b w:val="false"/>
          <w:bCs w:val="false"/>
          <w:i w:val="false"/>
          <w:iCs w:val="false"/>
          <w:color w:val="1F1F1F"/>
          <w:sz w:val="19"/>
          <w:szCs w:val="19"/>
        </w:rPr>
        <w:t xml:space="preserve">보안 영역에서는 Fortify(취약점 진단)를 국산 Sparrow Cloud로 전환할 경우 도입가 및 유지보수 요율이 외산 대비 낮고, KISA 보안 가이드라인에 최적화된 리포팅이 제공되어 운영 인력 비용까지 절감할 수 있다. 방화벽(Fortinet → 안랩/시큐아이)은 교체 주기(5~7년) 기준으로 하드웨어 도입가가 외산 대비 20~30% 저렴하다.</w:t>
      </w:r>
    </w:p>
    <w:p>
      <w:pPr>
        <w:spacing w:before="280" w:after="80"/>
      </w:pPr>
      <w:r>
        <w:rPr>
          <w:rFonts w:ascii="Arial" w:cs="Arial" w:eastAsia="Arial" w:hAnsi="Arial"/>
          <w:b/>
          <w:bCs/>
          <w:color w:val="1F4E79"/>
          <w:sz w:val="22"/>
          <w:szCs w:val="22"/>
        </w:rPr>
        <w:t xml:space="preserve">③ 절감 규모 特大(장기) / 초기 투자 필요 영역</w:t>
      </w:r>
    </w:p>
    <w:p>
      <w:pPr>
        <w:spacing w:before="60" w:after="80"/>
        <w:jc w:val="both"/>
      </w:pPr>
      <w:r>
        <w:rPr>
          <w:rFonts w:ascii="Arial" w:cs="Arial" w:eastAsia="Arial" w:hAnsi="Arial"/>
          <w:b w:val="false"/>
          <w:bCs w:val="false"/>
          <w:i w:val="false"/>
          <w:iCs w:val="false"/>
          <w:color w:val="1F1F1F"/>
          <w:sz w:val="19"/>
          <w:szCs w:val="19"/>
        </w:rPr>
        <w:t xml:space="preserve">생성형 AI(ChatGPT → 사내 구축형 LLM) 전환은 초기 GPU 인프라 구축에 약 20억~50억 원 이상의 투자가 발생하지만, 이후 API 호출당 과금이 없어 대량 호출이 발생하는 5년 이상 장기 관점에서 ChatGPT API 대비 TCO가 훨씬 경제적이다. 또한 금융 보안 가이드라인 준수 측면에서도 사내 구축형이 우위를 가진다.</w:t>
      </w:r>
    </w:p>
    <w:p>
      <w:pPr>
        <w:spacing w:before="60" w:after="80"/>
        <w:jc w:val="both"/>
      </w:pPr>
      <w:r>
        <w:rPr>
          <w:rFonts w:ascii="Arial" w:cs="Arial" w:eastAsia="Arial" w:hAnsi="Arial"/>
          <w:b w:val="false"/>
          <w:bCs w:val="false"/>
          <w:i w:val="false"/>
          <w:iCs w:val="false"/>
          <w:color w:val="1F1F1F"/>
          <w:sz w:val="19"/>
          <w:szCs w:val="19"/>
        </w:rPr>
        <w:t xml:space="preserve">OS(RedHat → Rocky Linux)는 라이선스 비용 자체가 $0이며, 전문 기술지원 업체와의 MA 계약(서버당 연 50~100만 원)만으로 운영이 가능하다. 서버 100대 기준 연간 절감액은 수천만~수억 원 수준이며, RHEL과 1:1 호환 구조여서 마이그레이션 부담도 최소화된다.</w:t>
      </w:r>
    </w:p>
    <w:p>
      <w:pPr>
        <w:pBdr>
          <w:left w:val="single" w:color="2E75B6" w:sz="14" w:space="6"/>
        </w:pBdr>
        <w:shd w:fill="DEEAF1" w:val="clear"/>
        <w:spacing w:before="100" w:after="100"/>
        <w:ind w:left="240"/>
      </w:pPr>
      <w:r>
        <w:rPr>
          <w:rFonts w:ascii="Arial" w:cs="Arial" w:eastAsia="Arial" w:hAnsi="Arial"/>
          <w:b/>
          <w:bCs/>
          <w:color w:val="1F4E79"/>
          <w:sz w:val="18"/>
          <w:szCs w:val="18"/>
        </w:rPr>
        <w:t xml:space="preserve">[종합 ROI 요약]  전사 전환 완료 시 5개년 누적 TCO 절감 효과는 규모에 따라 수십억 원 이상으로 추산된다. 특히 DBMS(Oracle), SW 라이선스(MS-EA), 가상화(VMware) 영역이 절감 규모가 가장 크며, 생성형 AI 구축을 제외한 대부분의 전환 영역에서 1~2년 내 투자 회수(ROI)가 가능하다.</w:t>
      </w:r>
    </w:p>
    <w:p>
      <w:r>
        <w:br w:type="page"/>
      </w:r>
    </w:p>
    <w:p>
      <w:pPr>
        <w:pBdr>
          <w:bottom w:val="single" w:color="2E75B6" w:sz="8" w:space="2"/>
        </w:pBdr>
        <w:spacing w:before="440" w:after="100"/>
      </w:pPr>
      <w:r>
        <w:rPr>
          <w:rFonts w:ascii="Arial" w:cs="Arial" w:eastAsia="Arial" w:hAnsi="Arial"/>
          <w:b/>
          <w:bCs/>
          <w:color w:val="2E75B6"/>
          <w:sz w:val="28"/>
          <w:szCs w:val="28"/>
        </w:rPr>
        <w:t xml:space="preserve">Part 3.  </w:t>
      </w:r>
      <w:r>
        <w:rPr>
          <w:rFonts w:ascii="Arial" w:cs="Arial" w:eastAsia="Arial" w:hAnsi="Arial"/>
          <w:b/>
          <w:bCs/>
          <w:color w:val="1F4E79"/>
          <w:sz w:val="28"/>
          <w:szCs w:val="28"/>
        </w:rPr>
        <w:t xml:space="preserve">단계별 전환 로드맵</w:t>
      </w:r>
    </w:p>
    <w:p>
      <w:pPr>
        <w:spacing w:before="60" w:after="80"/>
        <w:jc w:val="both"/>
      </w:pPr>
      <w:r>
        <w:rPr>
          <w:rFonts w:ascii="Arial" w:cs="Arial" w:eastAsia="Arial" w:hAnsi="Arial"/>
          <w:b w:val="false"/>
          <w:bCs w:val="false"/>
          <w:i w:val="false"/>
          <w:iCs w:val="false"/>
          <w:color w:val="1F1F1F"/>
          <w:sz w:val="19"/>
          <w:szCs w:val="19"/>
        </w:rPr>
        <w:t xml:space="preserve">리스크 수준과 전환 용이성을 기준으로 3단계 로드맵을 수립한다. 낮은 리스크·빠른 효과 영역부터 순차 전환하여 조직의 전환 역량을 점진적으로 축적하는 것이 핵심이다.</w:t>
      </w:r>
    </w:p>
    <w:p>
      <w:pPr>
        <w:spacing w:before="280" w:after="80"/>
      </w:pPr>
      <w:r>
        <w:rPr>
          <w:rFonts w:ascii="Arial" w:cs="Arial" w:eastAsia="Arial" w:hAnsi="Arial"/>
          <w:b/>
          <w:bCs/>
          <w:color w:val="1F4E79"/>
          <w:sz w:val="22"/>
          <w:szCs w:val="22"/>
        </w:rPr>
        <w:t xml:space="preserve">Phase 1 — 즉시 전환 가능 영역 (1~6개월 / Low Risk · Quick Win)</w:t>
      </w:r>
    </w:p>
    <w:p>
      <w:pPr>
        <w:spacing w:before="60" w:after="80"/>
        <w:jc w:val="both"/>
      </w:pPr>
      <w:r>
        <w:rPr>
          <w:rFonts w:ascii="Arial" w:cs="Arial" w:eastAsia="Arial" w:hAnsi="Arial"/>
          <w:b w:val="false"/>
          <w:bCs w:val="false"/>
          <w:i w:val="false"/>
          <w:iCs w:val="false"/>
          <w:color w:val="1F1F1F"/>
          <w:sz w:val="19"/>
          <w:szCs w:val="19"/>
        </w:rPr>
        <w:t xml:space="preserve">첫 번째 단계에서는 마이그레이션 부담이 낮고 즉각적인 비용 절감 효과가 확인된 영역을 우선 전환한다. 구체적으로는 아래 네 가지 액션을 동시 추진한다.</w:t>
      </w:r>
    </w:p>
    <w:p>
      <w:pPr>
        <w:pStyle w:val="ListParagraph"/>
        <w:numPr>
          <w:ilvl w:val="0"/>
          <w:numId w:val="2"/>
        </w:numPr>
        <w:spacing w:before="40" w:after="40"/>
      </w:pPr>
      <w:r>
        <w:rPr>
          <w:rFonts w:ascii="Arial" w:cs="Arial" w:eastAsia="Arial" w:hAnsi="Arial"/>
          <w:color w:val="1F1F1F"/>
          <w:sz w:val="18"/>
          <w:szCs w:val="18"/>
        </w:rPr>
        <w:t xml:space="preserve">IDE: IntelliJ → VS Code 전환 (핵심 조직만 IntelliJ 유지)</w:t>
      </w:r>
    </w:p>
    <w:p>
      <w:pPr>
        <w:pStyle w:val="ListParagraph"/>
        <w:numPr>
          <w:ilvl w:val="0"/>
          <w:numId w:val="2"/>
        </w:numPr>
        <w:spacing w:before="40" w:after="40"/>
      </w:pPr>
      <w:r>
        <w:rPr>
          <w:rFonts w:ascii="Arial" w:cs="Arial" w:eastAsia="Arial" w:hAnsi="Arial"/>
          <w:color w:val="1F1F1F"/>
          <w:sz w:val="18"/>
          <w:szCs w:val="18"/>
        </w:rPr>
        <w:t xml:space="preserve">협업툴: Zoom → 카카오워크 / 네이버웍스 전환</w:t>
      </w:r>
    </w:p>
    <w:p>
      <w:pPr>
        <w:pStyle w:val="ListParagraph"/>
        <w:numPr>
          <w:ilvl w:val="0"/>
          <w:numId w:val="2"/>
        </w:numPr>
        <w:spacing w:before="40" w:after="40"/>
      </w:pPr>
      <w:r>
        <w:rPr>
          <w:rFonts w:ascii="Arial" w:cs="Arial" w:eastAsia="Arial" w:hAnsi="Arial"/>
          <w:color w:val="1F1F1F"/>
          <w:sz w:val="18"/>
          <w:szCs w:val="18"/>
        </w:rPr>
        <w:t xml:space="preserve">OS: 신규 서버부터 Rocky Linux 적용 시작</w:t>
      </w:r>
    </w:p>
    <w:p>
      <w:pPr>
        <w:pStyle w:val="ListParagraph"/>
        <w:numPr>
          <w:ilvl w:val="0"/>
          <w:numId w:val="2"/>
        </w:numPr>
        <w:spacing w:before="40" w:after="40"/>
      </w:pPr>
      <w:r>
        <w:rPr>
          <w:rFonts w:ascii="Arial" w:cs="Arial" w:eastAsia="Arial" w:hAnsi="Arial"/>
          <w:color w:val="1F1F1F"/>
          <w:sz w:val="18"/>
          <w:szCs w:val="18"/>
        </w:rPr>
        <w:t xml:space="preserve">보안 진단: Fortify → Sparrow Cloud 전환</w:t>
      </w:r>
    </w:p>
    <w:p>
      <w:pPr>
        <w:spacing w:before="60" w:after="80"/>
        <w:jc w:val="both"/>
      </w:pPr>
      <w:r>
        <w:rPr>
          <w:rFonts w:ascii="Arial" w:cs="Arial" w:eastAsia="Arial" w:hAnsi="Arial"/>
          <w:b w:val="false"/>
          <w:bCs w:val="false"/>
          <w:i w:val="false"/>
          <w:iCs w:val="false"/>
          <w:color w:val="1F1F1F"/>
          <w:sz w:val="19"/>
          <w:szCs w:val="19"/>
        </w:rPr>
        <w:t xml:space="preserve">이 단계의 목적은 즉각적인 라이선스·구독료 절감을 통해 Quick Win을 확보하고, 이를 발판으로 조직 내 전환 동력을 형성하는 데 있다.</w:t>
      </w:r>
    </w:p>
    <w:p>
      <w:pPr>
        <w:spacing w:before="280" w:after="80"/>
      </w:pPr>
      <w:r>
        <w:rPr>
          <w:rFonts w:ascii="Arial" w:cs="Arial" w:eastAsia="Arial" w:hAnsi="Arial"/>
          <w:b/>
          <w:bCs/>
          <w:color w:val="1F4E79"/>
          <w:sz w:val="22"/>
          <w:szCs w:val="22"/>
        </w:rPr>
        <w:t xml:space="preserve">Phase 2 — 핵심 인프라 전환 (6~18개월 / 중위험)</w:t>
      </w:r>
    </w:p>
    <w:p>
      <w:pPr>
        <w:spacing w:before="60" w:after="80"/>
        <w:jc w:val="both"/>
      </w:pPr>
      <w:r>
        <w:rPr>
          <w:rFonts w:ascii="Arial" w:cs="Arial" w:eastAsia="Arial" w:hAnsi="Arial"/>
          <w:b w:val="false"/>
          <w:bCs w:val="false"/>
          <w:i w:val="false"/>
          <w:iCs w:val="false"/>
          <w:color w:val="1F1F1F"/>
          <w:sz w:val="19"/>
          <w:szCs w:val="19"/>
        </w:rPr>
        <w:t xml:space="preserve">두 번째 단계에서는 Vendor Lock-in 해소 효과가 크고, 충분한 검토 기간이 필요한 핵심 인프라 영역을 단계적으로 전환한다.</w:t>
      </w:r>
    </w:p>
    <w:p>
      <w:pPr>
        <w:pStyle w:val="ListParagraph"/>
        <w:numPr>
          <w:ilvl w:val="0"/>
          <w:numId w:val="2"/>
        </w:numPr>
        <w:spacing w:before="40" w:after="40"/>
      </w:pPr>
      <w:r>
        <w:rPr>
          <w:rFonts w:ascii="Arial" w:cs="Arial" w:eastAsia="Arial" w:hAnsi="Arial"/>
          <w:color w:val="1F1F1F"/>
          <w:sz w:val="18"/>
          <w:szCs w:val="18"/>
        </w:rPr>
        <w:t xml:space="preserve">SW 라이선스: MS-EA → 한컴독스 하이브리드 전환 (핵심 인원만 MS 365 유지)</w:t>
      </w:r>
    </w:p>
    <w:p>
      <w:pPr>
        <w:pStyle w:val="ListParagraph"/>
        <w:numPr>
          <w:ilvl w:val="0"/>
          <w:numId w:val="2"/>
        </w:numPr>
        <w:spacing w:before="40" w:after="40"/>
      </w:pPr>
      <w:r>
        <w:rPr>
          <w:rFonts w:ascii="Arial" w:cs="Arial" w:eastAsia="Arial" w:hAnsi="Arial"/>
          <w:color w:val="1F1F1F"/>
          <w:sz w:val="18"/>
          <w:szCs w:val="18"/>
        </w:rPr>
        <w:t xml:space="preserve">WAS: JEUS → Apache Tomcat 전환 (클라우드 네이티브 전환과 연계)</w:t>
      </w:r>
    </w:p>
    <w:p>
      <w:pPr>
        <w:pStyle w:val="ListParagraph"/>
        <w:numPr>
          <w:ilvl w:val="0"/>
          <w:numId w:val="2"/>
        </w:numPr>
        <w:spacing w:before="40" w:after="40"/>
      </w:pPr>
      <w:r>
        <w:rPr>
          <w:rFonts w:ascii="Arial" w:cs="Arial" w:eastAsia="Arial" w:hAnsi="Arial"/>
          <w:color w:val="1F1F1F"/>
          <w:sz w:val="18"/>
          <w:szCs w:val="18"/>
        </w:rPr>
        <w:t xml:space="preserve">DBMS: Oracle → Tibero 전환 (파일럿 시스템부터 단계적 적용)</w:t>
      </w:r>
    </w:p>
    <w:p>
      <w:pPr>
        <w:pStyle w:val="ListParagraph"/>
        <w:numPr>
          <w:ilvl w:val="0"/>
          <w:numId w:val="2"/>
        </w:numPr>
        <w:spacing w:before="40" w:after="40"/>
      </w:pPr>
      <w:r>
        <w:rPr>
          <w:rFonts w:ascii="Arial" w:cs="Arial" w:eastAsia="Arial" w:hAnsi="Arial"/>
          <w:color w:val="1F1F1F"/>
          <w:sz w:val="18"/>
          <w:szCs w:val="18"/>
        </w:rPr>
        <w:t xml:space="preserve">방화벽: 교체 주기 도래 장비부터 안랩 / 시큐아이로 전환</w:t>
      </w:r>
    </w:p>
    <w:p>
      <w:pPr>
        <w:pStyle w:val="ListParagraph"/>
        <w:numPr>
          <w:ilvl w:val="0"/>
          <w:numId w:val="2"/>
        </w:numPr>
        <w:spacing w:before="40" w:after="40"/>
      </w:pPr>
      <w:r>
        <w:rPr>
          <w:rFonts w:ascii="Arial" w:cs="Arial" w:eastAsia="Arial" w:hAnsi="Arial"/>
          <w:color w:val="1F1F1F"/>
          <w:sz w:val="18"/>
          <w:szCs w:val="18"/>
        </w:rPr>
        <w:t xml:space="preserve">가상화: VMware 갱신 검토 시점에 Nutanix 또는 Tmax HyperCloud로 전환</w:t>
      </w:r>
    </w:p>
    <w:p>
      <w:pPr>
        <w:spacing w:before="60" w:after="80"/>
        <w:jc w:val="both"/>
      </w:pPr>
      <w:r>
        <w:rPr>
          <w:rFonts w:ascii="Arial" w:cs="Arial" w:eastAsia="Arial" w:hAnsi="Arial"/>
          <w:b w:val="false"/>
          <w:bCs w:val="false"/>
          <w:i w:val="false"/>
          <w:iCs w:val="false"/>
          <w:color w:val="1F1F1F"/>
          <w:sz w:val="19"/>
          <w:szCs w:val="19"/>
        </w:rPr>
        <w:t xml:space="preserve">이 단계가 완료되면 핵심 인프라의 외산 종속성이 대폭 해소되고, 5개년 TCO 절감 효과가 본격화된다.</w:t>
      </w:r>
    </w:p>
    <w:p>
      <w:pPr>
        <w:spacing w:before="280" w:after="80"/>
      </w:pPr>
      <w:r>
        <w:rPr>
          <w:rFonts w:ascii="Arial" w:cs="Arial" w:eastAsia="Arial" w:hAnsi="Arial"/>
          <w:b/>
          <w:bCs/>
          <w:color w:val="1F4E79"/>
          <w:sz w:val="22"/>
          <w:szCs w:val="22"/>
        </w:rPr>
        <w:t xml:space="preserve">Phase 3 — 고난도 전략적 전환 (18~36개월+ / 기술 내재화 병행)</w:t>
      </w:r>
    </w:p>
    <w:p>
      <w:pPr>
        <w:spacing w:before="60" w:after="80"/>
        <w:jc w:val="both"/>
      </w:pPr>
      <w:r>
        <w:rPr>
          <w:rFonts w:ascii="Arial" w:cs="Arial" w:eastAsia="Arial" w:hAnsi="Arial"/>
          <w:b w:val="false"/>
          <w:bCs w:val="false"/>
          <w:i w:val="false"/>
          <w:iCs w:val="false"/>
          <w:color w:val="1F1F1F"/>
          <w:sz w:val="19"/>
          <w:szCs w:val="19"/>
        </w:rPr>
        <w:t xml:space="preserve">마지막 단계에서는 기술 내재화와 대규모 인프라 투자가 선행되어야 하는 고난도 전환을 추진한다.</w:t>
      </w:r>
    </w:p>
    <w:p>
      <w:pPr>
        <w:pStyle w:val="ListParagraph"/>
        <w:numPr>
          <w:ilvl w:val="0"/>
          <w:numId w:val="2"/>
        </w:numPr>
        <w:spacing w:before="40" w:after="40"/>
      </w:pPr>
      <w:r>
        <w:rPr>
          <w:rFonts w:ascii="Arial" w:cs="Arial" w:eastAsia="Arial" w:hAnsi="Arial"/>
          <w:color w:val="1F1F1F"/>
          <w:sz w:val="18"/>
          <w:szCs w:val="18"/>
        </w:rPr>
        <w:t xml:space="preserve">DBMS: Oracle → PostgreSQL 전환 (기술 역량 내재화 후 비핵심 시스템부터)</w:t>
      </w:r>
    </w:p>
    <w:p>
      <w:pPr>
        <w:pStyle w:val="ListParagraph"/>
        <w:numPr>
          <w:ilvl w:val="0"/>
          <w:numId w:val="2"/>
        </w:numPr>
        <w:spacing w:before="40" w:after="40"/>
      </w:pPr>
      <w:r>
        <w:rPr>
          <w:rFonts w:ascii="Arial" w:cs="Arial" w:eastAsia="Arial" w:hAnsi="Arial"/>
          <w:color w:val="1F1F1F"/>
          <w:sz w:val="18"/>
          <w:szCs w:val="18"/>
        </w:rPr>
        <w:t xml:space="preserve">클라우드: AWS → Naver Cloud / NHN Cloud 전환 (금융 특화 존 활용)</w:t>
      </w:r>
    </w:p>
    <w:p>
      <w:pPr>
        <w:pStyle w:val="ListParagraph"/>
        <w:numPr>
          <w:ilvl w:val="0"/>
          <w:numId w:val="2"/>
        </w:numPr>
        <w:spacing w:before="40" w:after="40"/>
      </w:pPr>
      <w:r>
        <w:rPr>
          <w:rFonts w:ascii="Arial" w:cs="Arial" w:eastAsia="Arial" w:hAnsi="Arial"/>
          <w:color w:val="1F1F1F"/>
          <w:sz w:val="18"/>
          <w:szCs w:val="18"/>
        </w:rPr>
        <w:t xml:space="preserve">생성형 AI: 사내 구축형 LLM(Llama 3) 도입 (GPU 인프라 구축 포함)</w:t>
      </w:r>
    </w:p>
    <w:p>
      <w:pPr>
        <w:spacing w:before="60" w:after="80"/>
        <w:jc w:val="both"/>
      </w:pPr>
      <w:r>
        <w:rPr>
          <w:rFonts w:ascii="Arial" w:cs="Arial" w:eastAsia="Arial" w:hAnsi="Arial"/>
          <w:b w:val="false"/>
          <w:bCs w:val="false"/>
          <w:i w:val="false"/>
          <w:iCs w:val="false"/>
          <w:color w:val="1F1F1F"/>
          <w:sz w:val="19"/>
          <w:szCs w:val="19"/>
        </w:rPr>
        <w:t xml:space="preserve">Phase 3 완료를 통해 외산 솔루션 종속성이 최소화되고, 장기 TCO 최적화 구조가 완성된다.</w:t>
      </w:r>
    </w:p>
    <w:p>
      <w:r>
        <w:br w:type="page"/>
      </w:r>
    </w:p>
    <w:p>
      <w:pPr>
        <w:pBdr>
          <w:bottom w:val="single" w:color="2E75B6" w:sz="8" w:space="2"/>
        </w:pBdr>
        <w:spacing w:before="440" w:after="100"/>
      </w:pPr>
      <w:r>
        <w:rPr>
          <w:rFonts w:ascii="Arial" w:cs="Arial" w:eastAsia="Arial" w:hAnsi="Arial"/>
          <w:b/>
          <w:bCs/>
          <w:color w:val="2E75B6"/>
          <w:sz w:val="28"/>
          <w:szCs w:val="28"/>
        </w:rPr>
        <w:t xml:space="preserve">Part 4.  </w:t>
      </w:r>
      <w:r>
        <w:rPr>
          <w:rFonts w:ascii="Arial" w:cs="Arial" w:eastAsia="Arial" w:hAnsi="Arial"/>
          <w:b/>
          <w:bCs/>
          <w:color w:val="1F4E79"/>
          <w:sz w:val="28"/>
          <w:szCs w:val="28"/>
        </w:rPr>
        <w:t xml:space="preserve">기술적·운영적 리스크 관리 방안</w:t>
      </w:r>
    </w:p>
    <w:p>
      <w:pPr>
        <w:spacing w:before="60" w:after="80"/>
        <w:jc w:val="both"/>
      </w:pPr>
      <w:r>
        <w:rPr>
          <w:rFonts w:ascii="Arial" w:cs="Arial" w:eastAsia="Arial" w:hAnsi="Arial"/>
          <w:b w:val="false"/>
          <w:bCs w:val="false"/>
          <w:i w:val="false"/>
          <w:iCs w:val="false"/>
          <w:color w:val="1F1F1F"/>
          <w:sz w:val="19"/>
          <w:szCs w:val="19"/>
        </w:rPr>
        <w:t xml:space="preserve">전환 과정에서 발생할 수 있는 주요 리스크를 영역별로 식별하고, 마이그레이션 안정성·데이터 무결성·금융 보안 규제 준수 관점의 관리 방안을 제시한다.</w:t>
      </w:r>
    </w:p>
    <w:p>
      <w:pPr>
        <w:spacing w:before="280" w:after="80"/>
      </w:pPr>
      <w:r>
        <w:rPr>
          <w:rFonts w:ascii="Arial" w:cs="Arial" w:eastAsia="Arial" w:hAnsi="Arial"/>
          <w:b/>
          <w:bCs/>
          <w:color w:val="1F4E79"/>
          <w:sz w:val="22"/>
          <w:szCs w:val="22"/>
        </w:rPr>
        <w:t xml:space="preserve">DBMS 전환 리스크 (수준: 중~고)</w:t>
      </w:r>
    </w:p>
    <w:p>
      <w:pPr>
        <w:spacing w:before="60" w:after="80"/>
        <w:jc w:val="both"/>
      </w:pPr>
      <w:r>
        <w:rPr>
          <w:rFonts w:ascii="Arial" w:cs="Arial" w:eastAsia="Arial" w:hAnsi="Arial"/>
          <w:b w:val="false"/>
          <w:bCs w:val="false"/>
          <w:i w:val="false"/>
          <w:iCs w:val="false"/>
          <w:color w:val="1F1F1F"/>
          <w:sz w:val="19"/>
          <w:szCs w:val="19"/>
        </w:rPr>
        <w:t xml:space="preserve">Oracle에서 Tibero 또는 PostgreSQL로의 전환 시 데이터 무결성 훼손, SQL 방언 차이에 따른 애플리케이션 오류, 마이그레이션 과정의 다운타임이 주요 리스크다. 이를 관리하기 위해 파일럿 시스템에 우선 전환 후 검증하고, 전문 마이그레이션 업체와 협력하여 충분한 병행 운영(Parallel Run) 기간을 확보해야 한다. 전환 전 롤백 플랜을 반드시 사전 수립한다.</w:t>
      </w:r>
    </w:p>
    <w:p>
      <w:pPr>
        <w:spacing w:before="280" w:after="80"/>
      </w:pPr>
      <w:r>
        <w:rPr>
          <w:rFonts w:ascii="Arial" w:cs="Arial" w:eastAsia="Arial" w:hAnsi="Arial"/>
          <w:b/>
          <w:bCs/>
          <w:color w:val="1F4E79"/>
          <w:sz w:val="22"/>
          <w:szCs w:val="22"/>
        </w:rPr>
        <w:t xml:space="preserve">WAS 전환 리스크 (수준: 중간)</w:t>
      </w:r>
    </w:p>
    <w:p>
      <w:pPr>
        <w:spacing w:before="60" w:after="80"/>
        <w:jc w:val="both"/>
      </w:pPr>
      <w:r>
        <w:rPr>
          <w:rFonts w:ascii="Arial" w:cs="Arial" w:eastAsia="Arial" w:hAnsi="Arial"/>
          <w:b w:val="false"/>
          <w:bCs w:val="false"/>
          <w:i w:val="false"/>
          <w:iCs w:val="false"/>
          <w:color w:val="1F1F1F"/>
          <w:sz w:val="19"/>
          <w:szCs w:val="19"/>
        </w:rPr>
        <w:t xml:space="preserve">JEUS에서 Apache Tomcat으로 전환 시 트랜잭션 처리 안정성 저하 및 기술지원 내재화 역량 부족이 리스크 요인이다. 클라우드 네이티브 전환과 연계하여 단계적으로 적용하고, 전문 기술 인력을 사전 확보하거나 외부 기술지원 계약을 체결하여 장애 대응 매뉴얼을 수립하는 것이 필요하다.</w:t>
      </w:r>
    </w:p>
    <w:p>
      <w:pPr>
        <w:spacing w:before="280" w:after="80"/>
      </w:pPr>
      <w:r>
        <w:rPr>
          <w:rFonts w:ascii="Arial" w:cs="Arial" w:eastAsia="Arial" w:hAnsi="Arial"/>
          <w:b/>
          <w:bCs/>
          <w:color w:val="1F4E79"/>
          <w:sz w:val="22"/>
          <w:szCs w:val="22"/>
        </w:rPr>
        <w:t xml:space="preserve">생성형 AI 구축 리스크 (수준: 높음)</w:t>
      </w:r>
    </w:p>
    <w:p>
      <w:pPr>
        <w:spacing w:before="60" w:after="80"/>
        <w:jc w:val="both"/>
      </w:pPr>
      <w:r>
        <w:rPr>
          <w:rFonts w:ascii="Arial" w:cs="Arial" w:eastAsia="Arial" w:hAnsi="Arial"/>
          <w:b w:val="false"/>
          <w:bCs w:val="false"/>
          <w:i w:val="false"/>
          <w:iCs w:val="false"/>
          <w:color w:val="1F1F1F"/>
          <w:sz w:val="19"/>
          <w:szCs w:val="19"/>
        </w:rPr>
        <w:t xml:space="preserve">사내 LLM 구축은 초기 GPU 인프라 투자(20억~50억 원 이상)와 운영 역량 확보가 선행 조건이다. 소규모 PoC(개념검증)를 통해 효과를 검증한 후 확대 투자를 결정하고, 초기에는 외부 클라우드 GPU 인스턴스를 활용하여 투자 비용을 분산하는 것이 합리적이다. 금융 보안 가이드라인 준수 여부는 법무·보안팀의 사전 검토를 의무화한다.</w:t>
      </w:r>
    </w:p>
    <w:p>
      <w:pPr>
        <w:spacing w:before="280" w:after="80"/>
      </w:pPr>
      <w:r>
        <w:rPr>
          <w:rFonts w:ascii="Arial" w:cs="Arial" w:eastAsia="Arial" w:hAnsi="Arial"/>
          <w:b/>
          <w:bCs/>
          <w:color w:val="1F4E79"/>
          <w:sz w:val="22"/>
          <w:szCs w:val="22"/>
        </w:rPr>
        <w:t xml:space="preserve">금융 보안 규제 리스크 (수준: 중간 / 공통)</w:t>
      </w:r>
    </w:p>
    <w:p>
      <w:pPr>
        <w:spacing w:before="60" w:after="80"/>
        <w:jc w:val="both"/>
      </w:pPr>
      <w:r>
        <w:rPr>
          <w:rFonts w:ascii="Arial" w:cs="Arial" w:eastAsia="Arial" w:hAnsi="Arial"/>
          <w:b w:val="false"/>
          <w:bCs w:val="false"/>
          <w:i w:val="false"/>
          <w:iCs w:val="false"/>
          <w:color w:val="1F1F1F"/>
          <w:sz w:val="19"/>
          <w:szCs w:val="19"/>
        </w:rPr>
        <w:t xml:space="preserve">CSAP, CC인증, KISA 가이드라인 등 국내 금융 규제에 대한 미준수 위험은 모든 전환 영역에 공통 적용된다. 전환 전 금융보안원 및 KISA 가이드라인 충족 여부를 사전 확인하며, 국산 솔루션(안랩, 시큐아이, Sparrow 등)을 우선 선택함으로써 규제 리스크를 구조적으로 최소화할 수 있다. 외산 오픈소스 도입 시에는 CC인증 제품을 우선 검토한다.</w:t>
      </w:r>
    </w:p>
    <w:p>
      <w:pPr>
        <w:spacing w:before="280" w:after="80"/>
      </w:pPr>
      <w:r>
        <w:rPr>
          <w:rFonts w:ascii="Arial" w:cs="Arial" w:eastAsia="Arial" w:hAnsi="Arial"/>
          <w:b/>
          <w:bCs/>
          <w:color w:val="1F4E79"/>
          <w:sz w:val="22"/>
          <w:szCs w:val="22"/>
        </w:rPr>
        <w:t xml:space="preserve">OS 및 가상화 전환 리스크 (수준: 낮음~중간)</w:t>
      </w:r>
    </w:p>
    <w:p>
      <w:pPr>
        <w:spacing w:before="60" w:after="80"/>
        <w:jc w:val="both"/>
      </w:pPr>
      <w:r>
        <w:rPr>
          <w:rFonts w:ascii="Arial" w:cs="Arial" w:eastAsia="Arial" w:hAnsi="Arial"/>
          <w:b w:val="false"/>
          <w:bCs w:val="false"/>
          <w:i w:val="false"/>
          <w:iCs w:val="false"/>
          <w:color w:val="1F1F1F"/>
          <w:sz w:val="19"/>
          <w:szCs w:val="19"/>
        </w:rPr>
        <w:t xml:space="preserve">Rocky Linux는 커뮤니티 기반 오픈소스이나, 국내 MSP 또는 전문 기술지원 업체와 MA 계약(서버당 연 50~100만 원)을 체결함으로써 기업 수준의 기술지원 연속성을 확보할 수 있다. VMware에서 Nutanix 또는 Tmax HyperCloud로의 전환 시에는 교체 주기가 도래한 장비부터 단계적으로 전환하고, 전환 기간 중 기존 VMware 환경을 병행 유지하여 운영 안정성을 담보한다.</w:t>
      </w:r>
    </w:p>
    <w:p>
      <w:pPr>
        <w:pBdr>
          <w:left w:val="single" w:color="375623" w:sz="14" w:space="6"/>
        </w:pBdr>
        <w:shd w:fill="E2EFDA" w:val="clear"/>
        <w:spacing w:before="100" w:after="100"/>
        <w:ind w:left="240"/>
      </w:pPr>
      <w:r>
        <w:rPr>
          <w:rFonts w:ascii="Arial" w:cs="Arial" w:eastAsia="Arial" w:hAnsi="Arial"/>
          <w:b/>
          <w:bCs/>
          <w:color w:val="375623"/>
          <w:sz w:val="18"/>
          <w:szCs w:val="18"/>
        </w:rPr>
        <w:t xml:space="preserve">[종합 리스크 관리 원칙]  ① 리스크가 낮은 영역부터 순차 전환하여 내부 역량을 축적한다.  ② 모든 전환 단계에서 금융보안원·KISA 가이드라인 사전 검토를 의무화한다.  ③ 병행 운영(Parallel Run) 및 롤백 플랜을 전환 계획에 필수 포함한다.  ④ 국산 솔루션 우선 선택으로 규제 리스크와 Vendor Lock-in 리스크를 동시에 최소화한다.</w:t>
      </w:r>
    </w:p>
    <w:p>
      <w:pPr>
        <w:spacing w:after="200"/>
      </w:pPr>
      <w:r>
        <w:t xml:space="preserv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1F4E79"/>
        <w:sz w:val="17"/>
        <w:szCs w:val="17"/>
      </w:rPr>
      <w:t xml:space="preserve">국내 금융권 외산 솔루션 대체 전략 보고서</w:t>
    </w:r>
    <w:r>
      <w:rPr>
        <w:rFonts w:ascii="Arial" w:cs="Arial" w:eastAsia="Arial" w:hAnsi="Arial"/>
        <w:color w:val="999999"/>
        <w:sz w:val="16"/>
        <w:szCs w:val="16"/>
      </w:rPr>
      <w:t xml:space="preserve">   |   금융 IT 전략 컨설팅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2026-03-10T06:48:14.212Z</dcterms:created>
  <dcterms:modified xsi:type="dcterms:W3CDTF">2026-03-10T06:48:14.213Z</dcterms:modified>
</cp:coreProperties>
</file>

<file path=docProps/custom.xml><?xml version="1.0" encoding="utf-8"?>
<Properties xmlns="http://schemas.openxmlformats.org/officeDocument/2006/custom-properties" xmlns:vt="http://schemas.openxmlformats.org/officeDocument/2006/docPropsVTypes"/>
</file>