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40"/>
        <w:jc w:val="center"/>
      </w:pPr>
      <w:r>
        <w:rPr>
          <w:rFonts w:ascii="黑体" w:hAnsi="黑体" w:eastAsia="黑体"/>
          <w:b/>
          <w:sz w:val="32"/>
        </w:rPr>
        <w:t>前车身控制器之前大灯系统</w:t>
      </w:r>
    </w:p>
    <w:p>
      <w:pPr>
        <w:pStyle w:val="Heading1"/>
        <w:spacing w:before="120" w:after="60"/>
      </w:pPr>
      <w:r>
        <w:rPr>
          <w:rFonts w:ascii="黑体" w:hAnsi="黑体" w:eastAsia="黑体"/>
          <w:b/>
          <w:sz w:val="24"/>
        </w:rPr>
        <w:t>1.1 系统功能清单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表1-1 前大灯系统功能清单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351"/>
        <w:gridCol w:w="2351"/>
        <w:gridCol w:w="2351"/>
        <w:gridCol w:w="2351"/>
      </w:tblGrid>
      <w:tr>
        <w:trPr>
          <w:trHeight w:val="425"/>
        </w:trPr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序号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功能搭载情况</w:t>
            </w:r>
          </w:p>
        </w:tc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备注</w:t>
            </w:r>
          </w:p>
        </w:tc>
      </w:tr>
      <w:tr>
        <w:trPr>
          <w:trHeight w:val="425"/>
        </w:trPr>
        <w:tc>
          <w:tcPr>
            <w:tcW w:type="dxa" w:w="1134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1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近光灯</w:t>
            </w:r>
          </w:p>
        </w:tc>
        <w:tc>
          <w:tcPr>
            <w:tcW w:type="dxa" w:w="2268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√</w:t>
            </w:r>
          </w:p>
        </w:tc>
        <w:tc>
          <w:tcPr>
            <w:tcW w:type="dxa" w:w="2835"/>
            <w:vAlign w:val="center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</w:r>
          </w:p>
        </w:tc>
      </w:tr>
    </w:tbl>
    <w:p/>
    <w:p>
      <w:pPr>
        <w:pStyle w:val="Heading1"/>
        <w:spacing w:before="120" w:after="60"/>
      </w:pPr>
      <w:r>
        <w:rPr>
          <w:rFonts w:ascii="黑体" w:hAnsi="黑体" w:eastAsia="黑体"/>
          <w:b/>
          <w:sz w:val="24"/>
        </w:rPr>
        <w:t>1.2 近光灯</w:t>
      </w:r>
    </w:p>
    <w:p>
      <w:pPr>
        <w:pStyle w:val="Heading2"/>
        <w:spacing w:before="120" w:after="60"/>
      </w:pPr>
      <w:r>
        <w:rPr>
          <w:rFonts w:ascii="黑体" w:hAnsi="黑体" w:eastAsia="黑体"/>
          <w:b/>
          <w:sz w:val="22"/>
        </w:rPr>
        <w:t>1.2.1 系统工作原理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在任意电源档位下，通过切换组合开关上的灯光挡位来亮灭近光灯。前车身控制器作为信号采集和处理的主控，接收组合开关发送的灯光档位信号来控制近光灯的亮灭。若为美版车，则仪表显示系统还需要同步点亮灯光总开关指示灯。</w:t>
      </w:r>
    </w:p>
    <w:p>
      <w:pPr>
        <w:pStyle w:val="Heading2"/>
        <w:spacing w:before="120" w:after="60"/>
      </w:pPr>
      <w:r>
        <w:rPr>
          <w:rFonts w:ascii="黑体" w:hAnsi="黑体" w:eastAsia="黑体"/>
          <w:b/>
          <w:sz w:val="22"/>
        </w:rPr>
        <w:t>1.2.2 功能逻辑</w:t>
      </w:r>
    </w:p>
    <w:p>
      <w:pPr>
        <w:pStyle w:val="Heading3"/>
        <w:spacing w:before="120" w:after="60"/>
      </w:pPr>
      <w:r>
        <w:rPr>
          <w:rFonts w:ascii="黑体" w:hAnsi="黑体" w:eastAsia="黑体"/>
          <w:b/>
          <w:sz w:val="22"/>
        </w:rPr>
        <w:t>1.2.2.1 近光灯亮灭逻辑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● 输出控制描述：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（1）控制近光灯熄灭：近光灯状态为熄灭，断开近光灯驱动，发送“近光灯”报文（0xXXX，X.X-X.X,0x2）。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（2）控制近光灯点亮：近光灯状态为点亮，输出近光灯驱动，发送“近光灯”报文（0xXXX，X.X-X.X,0x1）。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● 逻辑描述：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（1）模块得常电需要实时记忆近光灯状态（点亮、熄灭），断电不记忆。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（2）满足下面任意条件，控制近光灯点亮：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（a）近光灯档：接收到1帧“灯光旋钮当前机械结构处于的档位”报文（0x133，4.3-4.5，0x4），或掉线时判断为近光灯档。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（b）AUTO档：根据自动灯光逻辑，判断为近光灯点亮时。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（3）满足下面任意条件，控制近光灯熄灭：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（a）非近光灯/AUTO档：接收到1帧“灯光旋钮当前机械结构处于的档位”报文（0x133，4.3-4.5，0x1/0x3）。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（b）AUTO档：根据自动灯光逻辑，判断为近光灯熄灭时。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（4）掉线处理：连续5s未接收到“灯光旋钮当前机械结构处于的档位”报文（0x133，4.3-4.5）时，认为掉线，执行如下：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（a）ON档电下掉线，若此时采集到近光灯开启/关闭信号为低电平，认为此时处于近光灯档。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（b）ON档电下掉线，若此时采集到近光灯开启/关闭信号为非低电平，默认保持上一状态。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（c）OFF档电下掉线，默认保持上一状态。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（5）整车处于防盗设定状态/防盗状态时，不处理灯光开关的变化（判断“灯光旋钮当前机械结构处于的档位”报文）。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（6）模块上常电默认灯光旋钮的左灯光档当前处于OFF档，近光灯状态为熄灭，断开近光灯驱动，发送“近光灯”报文（0xXXX，X.X-X.X,0x2）。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（7）模块在不掉常电下出现自复位时，近光灯状态需要保持自复位前的状态，然后再按正常逻辑执行。</w:t>
      </w:r>
    </w:p>
    <w:p>
      <w:pPr>
        <w:pStyle w:val="Heading3"/>
        <w:spacing w:before="120" w:after="60"/>
      </w:pPr>
      <w:r>
        <w:rPr>
          <w:rFonts w:ascii="黑体" w:hAnsi="黑体" w:eastAsia="黑体"/>
          <w:b/>
          <w:sz w:val="22"/>
        </w:rPr>
        <w:t>1.2.2.2 灯光总开关指示灯逻辑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若为美版出口车，在控制近光灯亮灭时，需控制仪表显示系统的灯光总开关指示灯同步亮灭。非美版出口车，无此指示灯。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仪表自身会要求对美版出口车做区分。</w:t>
      </w:r>
    </w:p>
    <w:p>
      <w:pPr>
        <w:pStyle w:val="Heading3"/>
        <w:spacing w:before="120" w:after="60"/>
      </w:pPr>
      <w:r>
        <w:rPr>
          <w:rFonts w:ascii="黑体" w:hAnsi="黑体" w:eastAsia="黑体"/>
          <w:b/>
          <w:sz w:val="22"/>
        </w:rPr>
        <w:t>1.2.2.3 夜间行车语音提示功能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（1）同时满足下面所有条件，按照事件周期格式先以短周期发送三帧“夜间行车开灯语音提示”报文（0xXXX，X.X，0x1），然后再发送“夜间行车开灯语音提示”报文（0xXXX，X.X，0x0）：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（a）电源档位为ON档。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（b）灯光开关处于OFF档或小灯档：接收到1帧组合开关发送的“灯光旋钮当前机械结构处于的档位”报文（0x133，4.3-4.5，0x1/0x3）。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（c）车速≥5km/h：接收到1帧“车速信号”报文（0x121，1.0-2.3，车速≥5）。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（d）外界光强档位为5档：发送“光照强度值”CAN报文（0xXXX，X.X-X.X，0x5）时。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（2）不满足上面任一条件（（a）-（d）），发送“夜间行车开灯语音提示”报文（0xXXX，X.X，0x0）。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（3）掉线处理：连续5s未接收到“灯光旋钮当前机械结构处于的档位”报文时，认为组合开关掉线，报文默认保持上一状态；连续10帧未接收到“车速信号”报文时，认为ESP掉线，报文默认保持上一状态。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（4）模块上常电默认发送“夜间行车开灯语音提示”报文（0xXXX，X.X，0x0）。</w:t>
      </w:r>
    </w:p>
    <w:p>
      <w:pPr>
        <w:pStyle w:val="Heading3"/>
        <w:spacing w:before="120" w:after="60"/>
      </w:pPr>
      <w:r>
        <w:rPr>
          <w:rFonts w:ascii="黑体" w:hAnsi="黑体" w:eastAsia="黑体"/>
          <w:b/>
          <w:sz w:val="22"/>
        </w:rPr>
        <w:t>1.2.2.4 近光灯故障检测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当前域需要输出近光灯驱动时，需要对近光灯做故障检测。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（1）在近光灯工作时，满足下面任一条件，认为近光灯故障，发送“近光灯故障状态”报文（0xXXX，X.X-X.X，0x2）：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（a）诊断当前故障有“近光灯驱动电路对地短路故障”。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（b）诊断当前故障有“近光灯驱动电路断路故障”。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（2）在近光灯工作时，满足下面所有条件，认为近光灯正常，发送“近光灯故障状态”报文（0xXXX，X.X-X.X，0x1）：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（a）诊断当前故障无“近光灯驱动电路对地短路故障”。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（b）诊断当前故障无“近光灯驱动电路断路故障”。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（3）在近光灯不工作时，默认近光灯正常。</w:t>
      </w:r>
    </w:p>
    <w:p>
      <w:pPr>
        <w:spacing w:after="60" w:line="276" w:lineRule="auto"/>
      </w:pPr>
      <w:r>
        <w:rPr>
          <w:rFonts w:ascii="宋体" w:hAnsi="宋体" w:eastAsia="宋体"/>
          <w:sz w:val="21"/>
        </w:rPr>
        <w:t>（4）模块得常电或者休眠唤醒时，默认近光灯正常。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4F81BD" w:themeColor="accent1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