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5E2E2E" w14:textId="77777777" w:rsidTr="00AB08ED">
        <w:tc>
          <w:tcPr>
            <w:tcW w:w="7026" w:type="dxa"/>
            <w:vAlign w:val="bottom"/>
          </w:tcPr>
          <w:p w14:paraId="18BABE52" w14:textId="55F582A0" w:rsidR="002A792A" w:rsidRPr="006E48ED" w:rsidRDefault="0095203E" w:rsidP="00D34246">
            <w:pPr>
              <w:pStyle w:val="Title"/>
              <w:rPr>
                <w:sz w:val="32"/>
                <w:szCs w:val="32"/>
              </w:rPr>
            </w:pPr>
            <w:r w:rsidRPr="006E48ED">
              <w:rPr>
                <w:sz w:val="32"/>
                <w:szCs w:val="32"/>
              </w:rPr>
              <w:t>Inject Report</w:t>
            </w:r>
            <w:r w:rsidR="0040105F" w:rsidRPr="006E48ED">
              <w:rPr>
                <w:sz w:val="32"/>
                <w:szCs w:val="32"/>
              </w:rPr>
              <w:t xml:space="preserve"> #</w:t>
            </w:r>
          </w:p>
        </w:tc>
        <w:tc>
          <w:tcPr>
            <w:tcW w:w="3774" w:type="dxa"/>
            <w:vAlign w:val="bottom"/>
          </w:tcPr>
          <w:p w14:paraId="4F241C4A" w14:textId="3D2A42BF" w:rsidR="002A792A" w:rsidRPr="00847C23" w:rsidRDefault="0095203E" w:rsidP="00D34246">
            <w:pPr>
              <w:pStyle w:val="Subtitle"/>
              <w:rPr>
                <w:color w:val="0070C0"/>
              </w:rPr>
            </w:pPr>
            <w:r w:rsidRPr="00847C23">
              <w:rPr>
                <w:color w:val="0070C0"/>
              </w:rPr>
              <w:t>Team 11</w:t>
            </w:r>
            <w:r w:rsidR="004548D6" w:rsidRPr="00847C23">
              <w:rPr>
                <w:color w:val="0070C0"/>
              </w:rPr>
              <w:t> </w:t>
            </w:r>
            <w:r w:rsidR="00FF4DDB" w:rsidRPr="00847C23">
              <w:rPr>
                <w:color w:val="0070C0"/>
              </w:rPr>
              <w:t xml:space="preserve"> </w:t>
            </w:r>
          </w:p>
        </w:tc>
      </w:tr>
    </w:tbl>
    <w:p w14:paraId="11E87BD6" w14:textId="77777777" w:rsidR="0040105F" w:rsidRDefault="0040105F">
      <w:pPr>
        <w:pStyle w:val="Date"/>
      </w:pPr>
    </w:p>
    <w:p w14:paraId="330B0FA7" w14:textId="514CFF3C" w:rsidR="002A792A" w:rsidRPr="006E48ED" w:rsidRDefault="0095203E">
      <w:pPr>
        <w:pStyle w:val="Date"/>
      </w:pPr>
      <w:r w:rsidRPr="006E48ED">
        <w:t>Member Assigned:</w:t>
      </w: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2A792A" w14:paraId="3E2456AC" w14:textId="77777777" w:rsidTr="0040105F">
        <w:trPr>
          <w:trHeight w:val="663"/>
        </w:trPr>
        <w:tc>
          <w:tcPr>
            <w:tcW w:w="2338" w:type="dxa"/>
          </w:tcPr>
          <w:p w14:paraId="796F1311" w14:textId="42E309B3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Request:</w:t>
            </w:r>
          </w:p>
        </w:tc>
        <w:tc>
          <w:tcPr>
            <w:tcW w:w="8485" w:type="dxa"/>
            <w:tcMar>
              <w:left w:w="144" w:type="dxa"/>
            </w:tcMar>
          </w:tcPr>
          <w:p w14:paraId="63246CEC" w14:textId="2866F8B8" w:rsidR="002A792A" w:rsidRDefault="006E48ED" w:rsidP="00E539D7">
            <w:pPr>
              <w:pStyle w:val="AtRisk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 a windows password policy with these specific attributes:</w:t>
            </w:r>
          </w:p>
          <w:p w14:paraId="159CDF04" w14:textId="554E212A" w:rsidR="006E48ED" w:rsidRPr="006E48ED" w:rsidRDefault="006E48ED" w:rsidP="00E539D7">
            <w:pPr>
              <w:pStyle w:val="AtRisk"/>
              <w:numPr>
                <w:ilvl w:val="0"/>
                <w:numId w:val="0"/>
              </w:numPr>
              <w:rPr>
                <w:i/>
                <w:iCs/>
                <w:sz w:val="20"/>
                <w:szCs w:val="20"/>
              </w:rPr>
            </w:pPr>
            <w:r w:rsidRPr="006E48ED">
              <w:rPr>
                <w:i/>
                <w:iCs/>
                <w:sz w:val="18"/>
                <w:szCs w:val="18"/>
              </w:rPr>
              <w:t>1. All four types of characters (1 upper case character, 1 lower case character, 1 special character, 1 number) 2. 15 Character Minimum 3. Lockout the user after 5 failed password attempts in 15 minutes 4. Set the lockout period to last 15 minutes 5. Maximum of 90 days before a user’s password must be changed 6. Remember the last 3 passwords 7. No password hints. 8. Minimum password age of 1 day for non-service accounts 9. Disable storing passwords with reversible encryption 10. Enable password complexity requirements 11. Set Kerberos time tolerance to 5 minutes</w:t>
            </w:r>
          </w:p>
        </w:tc>
      </w:tr>
      <w:tr w:rsidR="002A792A" w14:paraId="456A01A9" w14:textId="77777777" w:rsidTr="0040105F">
        <w:trPr>
          <w:trHeight w:val="663"/>
        </w:trPr>
        <w:tc>
          <w:tcPr>
            <w:tcW w:w="2338" w:type="dxa"/>
          </w:tcPr>
          <w:p w14:paraId="131DE37F" w14:textId="7D68BAE8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Steps Taken:</w:t>
            </w:r>
          </w:p>
        </w:tc>
        <w:tc>
          <w:tcPr>
            <w:tcW w:w="8485" w:type="dxa"/>
            <w:tcMar>
              <w:left w:w="144" w:type="dxa"/>
            </w:tcMar>
          </w:tcPr>
          <w:p w14:paraId="116E095D" w14:textId="0F7FE1FB" w:rsidR="002A792A" w:rsidRPr="008A3026" w:rsidRDefault="00D37B67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304322" w:rsidRPr="008A3026">
              <w:rPr>
                <w:sz w:val="20"/>
                <w:szCs w:val="20"/>
              </w:rPr>
              <w:t>This is done through Windows Active Directory.</w:t>
            </w:r>
            <w:r w:rsidR="00371FF4" w:rsidRPr="008A3026">
              <w:rPr>
                <w:sz w:val="20"/>
                <w:szCs w:val="20"/>
              </w:rPr>
              <w:t xml:space="preserve"> The group policy management console is</w:t>
            </w:r>
            <w:r w:rsidRPr="008A3026">
              <w:rPr>
                <w:sz w:val="20"/>
                <w:szCs w:val="20"/>
              </w:rPr>
              <w:t xml:space="preserve"> </w:t>
            </w:r>
            <w:r w:rsidR="00371FF4" w:rsidRPr="008A3026">
              <w:rPr>
                <w:sz w:val="20"/>
                <w:szCs w:val="20"/>
              </w:rPr>
              <w:t>opened, then the user navigates to the domain section, and then to group policy objects where the default domain policy is located. Th</w:t>
            </w:r>
            <w:r w:rsidR="008A3026">
              <w:rPr>
                <w:sz w:val="20"/>
                <w:szCs w:val="20"/>
              </w:rPr>
              <w:t>e policy</w:t>
            </w:r>
            <w:r w:rsidR="00371FF4" w:rsidRPr="008A3026">
              <w:rPr>
                <w:sz w:val="20"/>
                <w:szCs w:val="20"/>
              </w:rPr>
              <w:t xml:space="preserve"> is edited in the domain policy editor</w:t>
            </w:r>
            <w:r w:rsidRPr="008A3026">
              <w:rPr>
                <w:sz w:val="20"/>
                <w:szCs w:val="20"/>
              </w:rPr>
              <w:t xml:space="preserve"> where the required attributes are added.</w:t>
            </w:r>
          </w:p>
        </w:tc>
      </w:tr>
      <w:tr w:rsidR="002A792A" w14:paraId="26EDC851" w14:textId="77777777" w:rsidTr="00ED341B">
        <w:trPr>
          <w:trHeight w:val="1277"/>
        </w:trPr>
        <w:tc>
          <w:tcPr>
            <w:tcW w:w="2338" w:type="dxa"/>
          </w:tcPr>
          <w:p w14:paraId="0ECE982C" w14:textId="7CFBCEC6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Screenshots</w:t>
            </w:r>
            <w:r w:rsidR="002820F8">
              <w:rPr>
                <w:sz w:val="22"/>
                <w:szCs w:val="22"/>
              </w:rPr>
              <w:t xml:space="preserve"> (if applicable)</w:t>
            </w:r>
            <w:r w:rsidRPr="0040105F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776A5BCF" w14:textId="77777777" w:rsidR="002A792A" w:rsidRDefault="00304322" w:rsidP="00E539D7">
            <w:pPr>
              <w:pStyle w:val="OnTrac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A48C1C" wp14:editId="3BAC2E0F">
                  <wp:extent cx="3480435" cy="1691640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834" cy="169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B147D" w14:textId="0B125636" w:rsidR="00304322" w:rsidRPr="0019622D" w:rsidRDefault="00304322" w:rsidP="00E539D7">
            <w:pPr>
              <w:pStyle w:val="OnTrac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– DO NOT USE/SUBMIT IN FINAL INJECT</w:t>
            </w:r>
          </w:p>
        </w:tc>
      </w:tr>
      <w:tr w:rsidR="002A792A" w14:paraId="1257C425" w14:textId="77777777" w:rsidTr="00ED341B">
        <w:trPr>
          <w:trHeight w:val="1592"/>
        </w:trPr>
        <w:tc>
          <w:tcPr>
            <w:tcW w:w="2338" w:type="dxa"/>
          </w:tcPr>
          <w:p w14:paraId="0B2A9B27" w14:textId="67D848FA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 xml:space="preserve">Report </w:t>
            </w:r>
            <w:r w:rsidR="00ED341B" w:rsidRPr="0040105F">
              <w:rPr>
                <w:sz w:val="22"/>
                <w:szCs w:val="22"/>
              </w:rPr>
              <w:t>Details (</w:t>
            </w:r>
            <w:r w:rsidR="00067447" w:rsidRPr="0040105F">
              <w:rPr>
                <w:sz w:val="22"/>
                <w:szCs w:val="22"/>
              </w:rPr>
              <w:t>e.g.</w:t>
            </w:r>
            <w:r w:rsidRPr="0040105F">
              <w:rPr>
                <w:sz w:val="22"/>
                <w:szCs w:val="22"/>
              </w:rPr>
              <w:t>, address questions that were asked in inject</w:t>
            </w:r>
            <w:r w:rsidR="0040105F" w:rsidRPr="0040105F">
              <w:rPr>
                <w:sz w:val="22"/>
                <w:szCs w:val="22"/>
              </w:rPr>
              <w:t>)</w:t>
            </w:r>
          </w:p>
        </w:tc>
        <w:tc>
          <w:tcPr>
            <w:tcW w:w="8485" w:type="dxa"/>
            <w:tcMar>
              <w:left w:w="144" w:type="dxa"/>
            </w:tcMar>
          </w:tcPr>
          <w:p w14:paraId="6E195E93" w14:textId="77777777" w:rsidR="002A792A" w:rsidRDefault="006E48ED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GPO Report Here</w:t>
            </w:r>
          </w:p>
          <w:p w14:paraId="7DCC7311" w14:textId="77777777" w:rsidR="00304322" w:rsidRDefault="00304322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: </w:t>
            </w:r>
            <w:r w:rsidRPr="00304322">
              <w:rPr>
                <w:sz w:val="20"/>
                <w:szCs w:val="20"/>
              </w:rPr>
              <w:t>Get-GPOReport -Name "TestGPO1" -ReportType HTML -Path "C:\GPOReports\GPOReport1.html"</w:t>
            </w:r>
          </w:p>
          <w:p w14:paraId="08ED4AB5" w14:textId="3B1BCA69" w:rsidR="00304322" w:rsidRPr="00ED341B" w:rsidRDefault="00304322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SUBMIT THIS CODE IN FINAL INJECT</w:t>
            </w:r>
          </w:p>
        </w:tc>
      </w:tr>
      <w:tr w:rsidR="002A792A" w14:paraId="323E1329" w14:textId="77777777" w:rsidTr="00ED341B">
        <w:trPr>
          <w:trHeight w:val="1403"/>
        </w:trPr>
        <w:tc>
          <w:tcPr>
            <w:tcW w:w="2338" w:type="dxa"/>
          </w:tcPr>
          <w:p w14:paraId="4C0C705F" w14:textId="791D0B5D" w:rsidR="002A792A" w:rsidRPr="0040105F" w:rsidRDefault="0040105F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Any remaining vulnerabilities/issue</w:t>
            </w:r>
            <w:r w:rsidR="008B7A93">
              <w:rPr>
                <w:sz w:val="22"/>
                <w:szCs w:val="22"/>
              </w:rPr>
              <w:t>s</w:t>
            </w:r>
          </w:p>
        </w:tc>
        <w:tc>
          <w:tcPr>
            <w:tcW w:w="8485" w:type="dxa"/>
            <w:tcMar>
              <w:left w:w="144" w:type="dxa"/>
            </w:tcMar>
          </w:tcPr>
          <w:p w14:paraId="17C6B44B" w14:textId="77777777" w:rsidR="002A792A" w:rsidRDefault="006E48ED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Devices not secured:</w:t>
            </w:r>
          </w:p>
          <w:p w14:paraId="57C16B4B" w14:textId="732C60D6" w:rsidR="00BA0698" w:rsidRPr="00ED341B" w:rsidRDefault="00BA0698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Policies that could not be implemented (if any):</w:t>
            </w:r>
          </w:p>
        </w:tc>
      </w:tr>
      <w:tr w:rsidR="002A792A" w14:paraId="156FC8B5" w14:textId="77777777" w:rsidTr="00ED341B">
        <w:trPr>
          <w:trHeight w:val="1232"/>
        </w:trPr>
        <w:tc>
          <w:tcPr>
            <w:tcW w:w="2338" w:type="dxa"/>
          </w:tcPr>
          <w:p w14:paraId="1271C97D" w14:textId="4C1DF00D" w:rsidR="002A792A" w:rsidRPr="0040105F" w:rsidRDefault="00282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Additional Info:</w:t>
            </w:r>
          </w:p>
        </w:tc>
        <w:tc>
          <w:tcPr>
            <w:tcW w:w="8485" w:type="dxa"/>
            <w:tcMar>
              <w:left w:w="144" w:type="dxa"/>
            </w:tcMar>
          </w:tcPr>
          <w:p w14:paraId="324B7FBA" w14:textId="2CF64899" w:rsidR="002A792A" w:rsidRPr="00ED341B" w:rsidRDefault="002A792A">
            <w:pPr>
              <w:rPr>
                <w:sz w:val="20"/>
                <w:szCs w:val="20"/>
              </w:rPr>
            </w:pPr>
          </w:p>
        </w:tc>
      </w:tr>
    </w:tbl>
    <w:p w14:paraId="1CA82054" w14:textId="766F36CC" w:rsidR="002A792A" w:rsidRDefault="002A792A" w:rsidP="00AD181F">
      <w:pPr>
        <w:pStyle w:val="Heading1"/>
        <w:pBdr>
          <w:bottom w:val="single" w:sz="4" w:space="31" w:color="BCB8AC" w:themeColor="text2" w:themeTint="66"/>
        </w:pBdr>
      </w:pPr>
    </w:p>
    <w:sectPr w:rsidR="002A792A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B394" w14:textId="77777777" w:rsidR="0049313C" w:rsidRDefault="0049313C">
      <w:pPr>
        <w:spacing w:after="0" w:line="240" w:lineRule="auto"/>
      </w:pPr>
      <w:r>
        <w:separator/>
      </w:r>
    </w:p>
  </w:endnote>
  <w:endnote w:type="continuationSeparator" w:id="0">
    <w:p w14:paraId="66D95D02" w14:textId="77777777" w:rsidR="0049313C" w:rsidRDefault="0049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D39" w14:textId="00747A5C" w:rsidR="002A792A" w:rsidRDefault="00067447">
    <w:pPr>
      <w:pStyle w:val="Footer"/>
    </w:pPr>
    <w:r>
      <w:t>team 11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6753" w14:textId="77777777" w:rsidR="0049313C" w:rsidRDefault="0049313C">
      <w:pPr>
        <w:spacing w:after="0" w:line="240" w:lineRule="auto"/>
      </w:pPr>
      <w:r>
        <w:separator/>
      </w:r>
    </w:p>
  </w:footnote>
  <w:footnote w:type="continuationSeparator" w:id="0">
    <w:p w14:paraId="58BB6423" w14:textId="77777777" w:rsidR="0049313C" w:rsidRDefault="0049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3E"/>
    <w:rsid w:val="000303C2"/>
    <w:rsid w:val="0005172C"/>
    <w:rsid w:val="00067447"/>
    <w:rsid w:val="00071A33"/>
    <w:rsid w:val="0008087C"/>
    <w:rsid w:val="000A0F81"/>
    <w:rsid w:val="000A696F"/>
    <w:rsid w:val="00102801"/>
    <w:rsid w:val="0019622D"/>
    <w:rsid w:val="001E35FF"/>
    <w:rsid w:val="002820F8"/>
    <w:rsid w:val="002A792A"/>
    <w:rsid w:val="00304322"/>
    <w:rsid w:val="003638E9"/>
    <w:rsid w:val="00371FF4"/>
    <w:rsid w:val="00387081"/>
    <w:rsid w:val="0040105F"/>
    <w:rsid w:val="004223A9"/>
    <w:rsid w:val="004548D6"/>
    <w:rsid w:val="0049313C"/>
    <w:rsid w:val="004B5EAA"/>
    <w:rsid w:val="005B653B"/>
    <w:rsid w:val="005C17AF"/>
    <w:rsid w:val="005F6ACD"/>
    <w:rsid w:val="006205F4"/>
    <w:rsid w:val="006D480F"/>
    <w:rsid w:val="006E48ED"/>
    <w:rsid w:val="006E49B5"/>
    <w:rsid w:val="006F07D7"/>
    <w:rsid w:val="0070283B"/>
    <w:rsid w:val="007B6B9F"/>
    <w:rsid w:val="00823C88"/>
    <w:rsid w:val="00847C23"/>
    <w:rsid w:val="008A3026"/>
    <w:rsid w:val="008B4B02"/>
    <w:rsid w:val="008B7A93"/>
    <w:rsid w:val="0095203E"/>
    <w:rsid w:val="009A2858"/>
    <w:rsid w:val="009B2CAF"/>
    <w:rsid w:val="00A32A28"/>
    <w:rsid w:val="00AB08ED"/>
    <w:rsid w:val="00AB17FC"/>
    <w:rsid w:val="00AD181F"/>
    <w:rsid w:val="00BA0698"/>
    <w:rsid w:val="00BA0BDE"/>
    <w:rsid w:val="00BD4E5D"/>
    <w:rsid w:val="00BF2918"/>
    <w:rsid w:val="00C330DE"/>
    <w:rsid w:val="00C3688B"/>
    <w:rsid w:val="00C40E10"/>
    <w:rsid w:val="00C72B2A"/>
    <w:rsid w:val="00D34246"/>
    <w:rsid w:val="00D37B67"/>
    <w:rsid w:val="00DB56B8"/>
    <w:rsid w:val="00E43A27"/>
    <w:rsid w:val="00E539D7"/>
    <w:rsid w:val="00E814A4"/>
    <w:rsid w:val="00ED341B"/>
    <w:rsid w:val="00F06BBE"/>
    <w:rsid w:val="00F801D7"/>
    <w:rsid w:val="00FC263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106D"/>
  <w15:chartTrackingRefBased/>
  <w15:docId w15:val="{7A863B45-366A-4CC5-A4DB-6D3E8B4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15</cp:revision>
  <cp:lastPrinted>2012-12-03T18:15:00Z</cp:lastPrinted>
  <dcterms:created xsi:type="dcterms:W3CDTF">2022-02-27T01:35:00Z</dcterms:created>
  <dcterms:modified xsi:type="dcterms:W3CDTF">2022-03-04T22:09:00Z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