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Jason Moss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Joel Uyesugi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Ryan Dean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Vitaliy Gavrilov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Design Document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System Modeling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ab/>
        <w:t xml:space="preserve">Use Cases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10000" cx="38100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10000" cx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Data Flow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5105400" cx="58293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1054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Subsystem Design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895850" cx="56388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895850" cx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Schema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 </w:t>
        <w:tab/>
      </w:r>
      <w:r w:rsidRPr="00000000" w:rsidR="00000000" w:rsidDel="00000000">
        <w:drawing>
          <wp:inline distR="114300" distT="114300" distB="114300" distL="114300">
            <wp:extent cy="4505325" cx="4371975"/>
            <wp:effectExtent t="0" b="0" r="0" l="0"/>
            <wp:docPr id="6" name="image11.png" descr="Schema.png"/>
            <a:graphic>
              <a:graphicData uri="http://schemas.openxmlformats.org/drawingml/2006/picture">
                <pic:pic>
                  <pic:nvPicPr>
                    <pic:cNvPr id="0" name="image11.png" descr="Schema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05325" cx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Interface Design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ab/>
        <w:t xml:space="preserve">Interface Mockup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572000" cx="3048000"/>
            <wp:effectExtent t="0" b="0" r="0" l="0"/>
            <wp:docPr id="5" name="image10.png" descr="Title.png"/>
            <a:graphic>
              <a:graphicData uri="http://schemas.openxmlformats.org/drawingml/2006/picture">
                <pic:pic>
                  <pic:nvPicPr>
                    <pic:cNvPr id="0" name="image10.png" descr="Title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72000" cx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235364" cx="5248275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35364" cx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7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10.png" Type="http://schemas.openxmlformats.org/officeDocument/2006/relationships/image" Id="rId9"/><Relationship Target="media/image03.png" Type="http://schemas.openxmlformats.org/officeDocument/2006/relationships/image" Id="rId6"/><Relationship Target="media/image09.png" Type="http://schemas.openxmlformats.org/officeDocument/2006/relationships/image" Id="rId5"/><Relationship Target="media/image11.png" Type="http://schemas.openxmlformats.org/officeDocument/2006/relationships/image" Id="rId8"/><Relationship Target="media/image0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Doc.docx</dc:title>
</cp:coreProperties>
</file>