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8820"/>
      </w:tblGrid>
      <w:tr w:rsidR="00C430F6" w:rsidRPr="00C430F6" w14:paraId="134FCCAF" w14:textId="77777777" w:rsidTr="006441D4">
        <w:trPr>
          <w:trHeight w:hRule="exact" w:val="1446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3B5A5F4" w14:textId="77777777" w:rsidR="00C430F6" w:rsidRPr="00C430F6" w:rsidRDefault="00C430F6" w:rsidP="00C430F6">
            <w:pPr>
              <w:spacing w:before="12"/>
              <w:jc w:val="center"/>
            </w:pPr>
            <w:r w:rsidRPr="00C430F6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3BF609A" wp14:editId="4FE9C5D7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0</wp:posOffset>
                  </wp:positionV>
                  <wp:extent cx="749935" cy="909955"/>
                  <wp:effectExtent l="0" t="0" r="12065" b="4445"/>
                  <wp:wrapThrough wrapText="bothSides">
                    <wp:wrapPolygon edited="0">
                      <wp:start x="0" y="0"/>
                      <wp:lineTo x="0" y="21103"/>
                      <wp:lineTo x="21216" y="21103"/>
                      <wp:lineTo x="21216" y="0"/>
                      <wp:lineTo x="0" y="0"/>
                    </wp:wrapPolygon>
                  </wp:wrapThrough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909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1AAC8119" w14:textId="77777777" w:rsidR="00C430F6" w:rsidRPr="00C430F6" w:rsidRDefault="00C430F6" w:rsidP="00C430F6">
            <w:pPr>
              <w:kinsoku w:val="0"/>
              <w:spacing w:before="216"/>
              <w:jc w:val="center"/>
              <w:rPr>
                <w:rFonts w:ascii="Bookman Old Style" w:hAnsi="Bookman Old Style"/>
                <w:b/>
                <w:bCs/>
                <w:color w:val="0E2FB0"/>
                <w:spacing w:val="80"/>
              </w:rPr>
            </w:pPr>
            <w:r w:rsidRPr="00C430F6">
              <w:rPr>
                <w:rFonts w:ascii="Bookman Old Style" w:hAnsi="Bookman Old Style" w:cs="Bookman Old Style"/>
                <w:b/>
                <w:color w:val="0E2FB0"/>
                <w:spacing w:val="80"/>
              </w:rPr>
              <w:t>WESTERN STATES WA</w:t>
            </w:r>
            <w:r w:rsidRPr="00C430F6">
              <w:rPr>
                <w:rFonts w:ascii="Bookman Old Style" w:hAnsi="Bookman Old Style"/>
                <w:b/>
                <w:bCs/>
                <w:color w:val="0E2FB0"/>
                <w:spacing w:val="80"/>
              </w:rPr>
              <w:t>TER COUNCIL</w:t>
            </w:r>
          </w:p>
          <w:p w14:paraId="66E14E82" w14:textId="77777777" w:rsidR="00C430F6" w:rsidRPr="00C430F6" w:rsidRDefault="00C430F6" w:rsidP="00C430F6">
            <w:pPr>
              <w:kinsoku w:val="0"/>
              <w:spacing w:before="180" w:line="360" w:lineRule="auto"/>
              <w:ind w:left="684" w:right="-150" w:hanging="864"/>
              <w:jc w:val="center"/>
              <w:rPr>
                <w:b/>
                <w:bCs/>
                <w:i/>
                <w:iCs/>
                <w:color w:val="0E2FB0"/>
                <w:spacing w:val="-6"/>
                <w:sz w:val="17"/>
                <w:szCs w:val="17"/>
              </w:rPr>
            </w:pPr>
            <w:r w:rsidRPr="00C430F6">
              <w:rPr>
                <w:b/>
                <w:bCs/>
                <w:i/>
                <w:iCs/>
                <w:color w:val="0E2FB0"/>
                <w:spacing w:val="-7"/>
                <w:sz w:val="20"/>
                <w:szCs w:val="20"/>
              </w:rPr>
              <w:t>682 East Vine Street, Suite 7   I   Murray, Utah  84107-5501   I   (801) 685-2555   I   FAX (801) 685-2559</w:t>
            </w:r>
            <w:r w:rsidRPr="00C430F6">
              <w:rPr>
                <w:b/>
                <w:bCs/>
                <w:i/>
                <w:iCs/>
                <w:color w:val="0E2FB0"/>
                <w:spacing w:val="-7"/>
                <w:sz w:val="17"/>
                <w:szCs w:val="17"/>
              </w:rPr>
              <w:br/>
            </w:r>
            <w:r w:rsidRPr="00C430F6">
              <w:rPr>
                <w:b/>
                <w:bCs/>
                <w:i/>
                <w:iCs/>
                <w:color w:val="0E2FB0"/>
                <w:spacing w:val="-6"/>
                <w:sz w:val="20"/>
                <w:szCs w:val="20"/>
              </w:rPr>
              <w:t xml:space="preserve">Web Page: </w:t>
            </w:r>
            <w:hyperlink r:id="rId7" w:history="1">
              <w:r w:rsidRPr="00C430F6">
                <w:rPr>
                  <w:b/>
                  <w:bCs/>
                  <w:i/>
                  <w:iCs/>
                  <w:color w:val="0000FF"/>
                  <w:spacing w:val="-6"/>
                  <w:sz w:val="20"/>
                  <w:szCs w:val="20"/>
                  <w:u w:val="single"/>
                </w:rPr>
                <w:t>www.westernstateswater.org</w:t>
              </w:r>
            </w:hyperlink>
          </w:p>
          <w:p w14:paraId="6C8DB46E" w14:textId="77777777" w:rsidR="00C430F6" w:rsidRPr="00C430F6" w:rsidRDefault="00C430F6" w:rsidP="00C430F6">
            <w:pPr>
              <w:kinsoku w:val="0"/>
              <w:spacing w:before="180" w:line="360" w:lineRule="auto"/>
              <w:ind w:left="684" w:hanging="421"/>
              <w:jc w:val="center"/>
              <w:rPr>
                <w:b/>
                <w:bCs/>
                <w:i/>
                <w:iCs/>
                <w:color w:val="0E2FB0"/>
                <w:spacing w:val="-6"/>
                <w:sz w:val="17"/>
                <w:szCs w:val="17"/>
              </w:rPr>
            </w:pPr>
          </w:p>
        </w:tc>
      </w:tr>
    </w:tbl>
    <w:p w14:paraId="776C1EA0" w14:textId="77777777" w:rsidR="00C430F6" w:rsidRPr="00C430F6" w:rsidRDefault="00C430F6" w:rsidP="00C430F6"/>
    <w:p w14:paraId="09DFE427" w14:textId="6ACFC871" w:rsidR="00C430F6" w:rsidRPr="00C430F6" w:rsidRDefault="00C33710" w:rsidP="00C43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</w:t>
      </w:r>
      <w:r w:rsidR="00C430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C430F6">
        <w:rPr>
          <w:rFonts w:ascii="Times New Roman" w:hAnsi="Times New Roman" w:cs="Times New Roman"/>
        </w:rPr>
        <w:t>,</w:t>
      </w:r>
      <w:r w:rsidR="00C430F6" w:rsidRPr="00C430F6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</w:p>
    <w:p w14:paraId="0DA22985" w14:textId="2F711CCF" w:rsidR="00C430F6" w:rsidRPr="00C430F6" w:rsidRDefault="00C430F6" w:rsidP="00C430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0F6">
        <w:rPr>
          <w:rFonts w:ascii="Times New Roman" w:eastAsia="Times New Roman" w:hAnsi="Times New Roman" w:cs="Times New Roman"/>
          <w:b/>
          <w:sz w:val="24"/>
          <w:szCs w:val="24"/>
        </w:rPr>
        <w:t xml:space="preserve">WaDE </w:t>
      </w:r>
      <w:r w:rsidR="00C33710">
        <w:rPr>
          <w:rFonts w:ascii="Times New Roman" w:eastAsia="Times New Roman" w:hAnsi="Times New Roman" w:cs="Times New Roman"/>
          <w:b/>
          <w:sz w:val="24"/>
          <w:szCs w:val="24"/>
        </w:rPr>
        <w:t xml:space="preserve">Gage Site Specific Data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Review</w:t>
      </w:r>
    </w:p>
    <w:p w14:paraId="211F9E8C" w14:textId="77777777" w:rsidR="00C430F6" w:rsidRPr="00C430F6" w:rsidRDefault="00C430F6" w:rsidP="00C430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3BF06" w14:textId="41B39A4B" w:rsidR="00C36FBF" w:rsidRDefault="00C36FBF" w:rsidP="00B70D8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is a set of 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notes and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the </w:t>
      </w:r>
      <w:r w:rsidR="000332B0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Water Data Exchange (WaDE)</w:t>
      </w:r>
      <w:r w:rsidR="00033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staff has </w:t>
      </w:r>
      <w:r w:rsidR="00DE1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assembled after reviewing the </w:t>
      </w:r>
      <w:r w:rsidR="0018032C" w:rsidRP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Nevada Division of Water Resources </w:t>
      </w:r>
      <w:r w:rsidR="00DE144D" w:rsidRPr="00C36FB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>NDWR</w:t>
      </w:r>
      <w:r w:rsidR="00DE144D" w:rsidRPr="00C36FB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E1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site specific time series gage data.  </w:t>
      </w:r>
      <w:r w:rsidR="00DE1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questions relate to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unidentifiable elements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irregular</w:t>
      </w:r>
      <w:r w:rsidR="00DE1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entries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general questions the </w:t>
      </w:r>
      <w:r w:rsidR="000332B0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WaDE</w:t>
      </w:r>
      <w:r w:rsidR="00536F81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>staff has in order to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best 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fit the provided set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into </w:t>
      </w:r>
      <w:r w:rsidR="00536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536F81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WaDE</w:t>
      </w:r>
      <w:r w:rsidR="00F269D2">
        <w:rPr>
          <w:rFonts w:ascii="Times New Roman" w:eastAsia="Times New Roman" w:hAnsi="Times New Roman" w:cs="Times New Roman"/>
          <w:color w:val="000000"/>
          <w:sz w:val="24"/>
          <w:szCs w:val="24"/>
        </w:rPr>
        <w:t>2.0</w:t>
      </w:r>
      <w:r w:rsidR="00536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1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cloud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computing</w:t>
      </w:r>
      <w:r w:rsidR="00ED1DFF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ED1DFF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rogram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A1C7C7" w14:textId="4BA5F9A3" w:rsidR="00ED1DFF" w:rsidRDefault="00ED1DFF" w:rsidP="00B70D8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66D11C" w14:textId="0F714B66" w:rsidR="00174D74" w:rsidRDefault="00174D74" w:rsidP="00B70D8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 w:rsid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Review:</w:t>
      </w:r>
    </w:p>
    <w:p w14:paraId="0977C678" w14:textId="77777777" w:rsidR="00596658" w:rsidRDefault="00F269D2" w:rsidP="0059665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174D74" w:rsidRPr="005966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Surface Water Monitoring Measures</w:t>
        </w:r>
      </w:hyperlink>
      <w:r w:rsidR="00174D74" w:rsidRP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series data to assess the condition of the groundwater and surface water systems.</w:t>
      </w:r>
    </w:p>
    <w:p w14:paraId="14D1425D" w14:textId="18337763" w:rsidR="00174D74" w:rsidRPr="00596658" w:rsidRDefault="00F269D2" w:rsidP="0059665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174D74" w:rsidRPr="005966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Surface Water Monitoring Sites</w:t>
        </w:r>
      </w:hyperlink>
      <w:r w:rsidR="00174D74" w:rsidRP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shapefile location data to pair time series data to sites.</w:t>
      </w:r>
    </w:p>
    <w:p w14:paraId="6010C524" w14:textId="77777777" w:rsidR="00174D74" w:rsidRDefault="00174D74" w:rsidP="00B70D8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7FF7C" w14:textId="39A31FC8" w:rsidR="00206971" w:rsidRPr="00206971" w:rsidRDefault="00620909" w:rsidP="00012991">
      <w:pPr>
        <w:pBdr>
          <w:top w:val="single" w:sz="4" w:space="1" w:color="auto"/>
        </w:pBdr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</w:pPr>
      <w:r w:rsidRPr="00620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 #1: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74D74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  <w:t>Better identification of water source type for each site.</w:t>
      </w:r>
    </w:p>
    <w:p w14:paraId="745A587E" w14:textId="14026EA5" w:rsidR="00174D74" w:rsidRDefault="00174D7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was unclear what the water source type (e.g., surface water, groundwater) was for </w:t>
      </w:r>
      <w:r w:rsid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set (1).  </w:t>
      </w:r>
      <w:r w:rsidR="00536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WaDE </w:t>
      </w:r>
      <w:r w:rsid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staff made assumptions on type based on the </w:t>
      </w:r>
      <w:proofErr w:type="spellStart"/>
      <w:r w:rsidR="00A80E91" w:rsidRPr="00A80E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Source_Des</w:t>
      </w:r>
      <w:proofErr w:type="spellEnd"/>
      <w:r w:rsidR="00A80E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6658" w:rsidRPr="00A80E91"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  <w:r w:rsidR="00596658" w:rsidRP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</w:t>
      </w:r>
      <w:r w:rsid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 w:rsidR="00596658" w:rsidRP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Inputs of "wells", "well", "flowing well" &amp; "spring" </w:t>
      </w:r>
      <w:r w:rsid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r w:rsidR="00596658" w:rsidRP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considered Groundwater, while everything else is Surface Water.</w:t>
      </w:r>
      <w:r w:rsid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Better clarification to prevent errors would be beneficial.</w:t>
      </w:r>
    </w:p>
    <w:p w14:paraId="1B1D4FA5" w14:textId="4E854030" w:rsidR="00596658" w:rsidRDefault="00596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8BA441" w14:textId="1429FC21" w:rsidR="00536F81" w:rsidRPr="00206971" w:rsidRDefault="00536F81" w:rsidP="00536F81">
      <w:pPr>
        <w:pBdr>
          <w:top w:val="single" w:sz="4" w:space="1" w:color="auto"/>
        </w:pBdr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</w:pPr>
      <w:r w:rsidRPr="00620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 #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20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  <w:t>Reservoir location / site type identification.</w:t>
      </w:r>
    </w:p>
    <w:p w14:paraId="66543CA3" w14:textId="5723B9F1" w:rsidR="00A80E91" w:rsidRDefault="00536F81" w:rsidP="00536F8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WaDE staff would like to be able to better identify reservoir locations and timeseries data within the </w:t>
      </w:r>
      <w:r w:rsidR="00A80E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dataset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possible.  Sites with the keyword “reservoir” were noted in </w:t>
      </w:r>
      <w:proofErr w:type="spellStart"/>
      <w:r w:rsidR="00A80E91" w:rsidRPr="005966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Site_Name</w:t>
      </w:r>
      <w:proofErr w:type="spellEnd"/>
      <w:r w:rsidR="00A80E91" w:rsidRP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field</w:t>
      </w:r>
      <w:r w:rsidR="00A80E91">
        <w:rPr>
          <w:rFonts w:ascii="Times New Roman" w:eastAsia="Times New Roman" w:hAnsi="Times New Roman" w:cs="Times New Roman"/>
          <w:color w:val="000000"/>
          <w:sz w:val="24"/>
          <w:szCs w:val="24"/>
        </w:rPr>
        <w:t>, but better clarification would be beneficial.</w:t>
      </w:r>
    </w:p>
    <w:p w14:paraId="10A14079" w14:textId="15332758" w:rsidR="004B1DC1" w:rsidRDefault="004B1DC1" w:rsidP="00536F8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12FE5" w14:textId="3326132C" w:rsidR="004B1DC1" w:rsidRPr="00206971" w:rsidRDefault="004B1DC1" w:rsidP="004B1DC1">
      <w:pPr>
        <w:pBdr>
          <w:top w:val="single" w:sz="4" w:space="1" w:color="auto"/>
        </w:pBdr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</w:pPr>
      <w:r w:rsidRPr="00620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 #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20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  <w:t>Incomplete records not uploaded to WaDE.</w:t>
      </w:r>
    </w:p>
    <w:p w14:paraId="49B94F8F" w14:textId="5ACD097D" w:rsidR="004B1DC1" w:rsidRDefault="004B1DC1" w:rsidP="004B1D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records could not be imported WaDE for missing key information.  See </w:t>
      </w:r>
      <w:r w:rsidRPr="004B1DC1">
        <w:rPr>
          <w:rFonts w:ascii="Times New Roman" w:eastAsia="Times New Roman" w:hAnsi="Times New Roman" w:cs="Times New Roman"/>
          <w:color w:val="000000"/>
          <w:sz w:val="24"/>
          <w:szCs w:val="24"/>
        </w:rPr>
        <w:t>Incomplete Records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.xlsx for specific records.</w:t>
      </w:r>
    </w:p>
    <w:p w14:paraId="62533293" w14:textId="77777777" w:rsidR="004B1DC1" w:rsidRDefault="004B1DC1" w:rsidP="004B1D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records were removed for the following reasons…</w:t>
      </w:r>
    </w:p>
    <w:p w14:paraId="06F1F288" w14:textId="506AC0A5" w:rsidR="004B1DC1" w:rsidRDefault="004B1DC1" w:rsidP="004B1DC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Incomplete Amount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missing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volume value.  Possibly marked as NULL.</w:t>
      </w:r>
    </w:p>
    <w:p w14:paraId="307AAE54" w14:textId="3C8599E5" w:rsidR="00596658" w:rsidRPr="004B1DC1" w:rsidRDefault="004B1DC1" w:rsidP="004B1DC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Incomplete Timeframe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missing timeframe data value.</w:t>
      </w:r>
    </w:p>
    <w:sectPr w:rsidR="00596658" w:rsidRPr="004B1DC1" w:rsidSect="004B1DC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30E"/>
    <w:multiLevelType w:val="hybridMultilevel"/>
    <w:tmpl w:val="96F6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1543"/>
    <w:multiLevelType w:val="hybridMultilevel"/>
    <w:tmpl w:val="CAB039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AEB7CC8"/>
    <w:multiLevelType w:val="hybridMultilevel"/>
    <w:tmpl w:val="47F05818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272CA"/>
    <w:multiLevelType w:val="hybridMultilevel"/>
    <w:tmpl w:val="DC2AFC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A2"/>
    <w:rsid w:val="00012991"/>
    <w:rsid w:val="000332B0"/>
    <w:rsid w:val="00113421"/>
    <w:rsid w:val="00174D74"/>
    <w:rsid w:val="0018032C"/>
    <w:rsid w:val="00206971"/>
    <w:rsid w:val="003753A2"/>
    <w:rsid w:val="004B1DC1"/>
    <w:rsid w:val="00536F81"/>
    <w:rsid w:val="00596658"/>
    <w:rsid w:val="00620909"/>
    <w:rsid w:val="008167C4"/>
    <w:rsid w:val="00981A81"/>
    <w:rsid w:val="00A304FC"/>
    <w:rsid w:val="00A80E91"/>
    <w:rsid w:val="00A8664F"/>
    <w:rsid w:val="00B70D8B"/>
    <w:rsid w:val="00BB531C"/>
    <w:rsid w:val="00C33710"/>
    <w:rsid w:val="00C36FBF"/>
    <w:rsid w:val="00C430F6"/>
    <w:rsid w:val="00D13654"/>
    <w:rsid w:val="00D75D76"/>
    <w:rsid w:val="00DE144D"/>
    <w:rsid w:val="00ED1DFF"/>
    <w:rsid w:val="00F2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31D9"/>
  <w15:chartTrackingRefBased/>
  <w15:docId w15:val="{42D62047-24AA-4F53-A957-12CCFAB6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430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0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ndwr.hub.arcgis.com/datasets/NDWR::surface-water-monitoring-measures/abou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esternstateswate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-ndwr.hub.arcgis.com/datasets/NDWR::surface-water-monitoring-sites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771C7-68A9-4F42-A0CA-A2BAEDFB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</dc:creator>
  <cp:keywords/>
  <dc:description/>
  <cp:lastModifiedBy>Ryan James</cp:lastModifiedBy>
  <cp:revision>18</cp:revision>
  <dcterms:created xsi:type="dcterms:W3CDTF">2021-07-01T16:55:00Z</dcterms:created>
  <dcterms:modified xsi:type="dcterms:W3CDTF">2022-02-03T20:11:00Z</dcterms:modified>
</cp:coreProperties>
</file>