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8820"/>
      </w:tblGrid>
      <w:tr w:rsidR="00C430F6" w:rsidRPr="00C430F6" w14:paraId="134FCCAF" w14:textId="77777777" w:rsidTr="006441D4">
        <w:trPr>
          <w:trHeight w:hRule="exact" w:val="1446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B5A5F4" w14:textId="77777777" w:rsidR="00C430F6" w:rsidRPr="00C430F6" w:rsidRDefault="00C430F6" w:rsidP="00C430F6">
            <w:pPr>
              <w:spacing w:before="12"/>
              <w:jc w:val="center"/>
            </w:pPr>
            <w:r w:rsidRPr="00C430F6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3BF609A" wp14:editId="4FE9C5D7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0</wp:posOffset>
                  </wp:positionV>
                  <wp:extent cx="749935" cy="909955"/>
                  <wp:effectExtent l="0" t="0" r="12065" b="4445"/>
                  <wp:wrapThrough wrapText="bothSides">
                    <wp:wrapPolygon edited="0">
                      <wp:start x="0" y="0"/>
                      <wp:lineTo x="0" y="21103"/>
                      <wp:lineTo x="21216" y="21103"/>
                      <wp:lineTo x="21216" y="0"/>
                      <wp:lineTo x="0" y="0"/>
                    </wp:wrapPolygon>
                  </wp:wrapThrough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909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1AAC8119" w14:textId="77777777" w:rsidR="00C430F6" w:rsidRPr="00C430F6" w:rsidRDefault="00C430F6" w:rsidP="00C430F6">
            <w:pPr>
              <w:kinsoku w:val="0"/>
              <w:spacing w:before="216"/>
              <w:jc w:val="center"/>
              <w:rPr>
                <w:rFonts w:ascii="Bookman Old Style" w:hAnsi="Bookman Old Style"/>
                <w:b/>
                <w:bCs/>
                <w:color w:val="0E2FB0"/>
                <w:spacing w:val="80"/>
              </w:rPr>
            </w:pPr>
            <w:r w:rsidRPr="00C430F6">
              <w:rPr>
                <w:rFonts w:ascii="Bookman Old Style" w:hAnsi="Bookman Old Style" w:cs="Bookman Old Style"/>
                <w:b/>
                <w:color w:val="0E2FB0"/>
                <w:spacing w:val="80"/>
              </w:rPr>
              <w:t>WESTERN STATES WA</w:t>
            </w:r>
            <w:r w:rsidRPr="00C430F6">
              <w:rPr>
                <w:rFonts w:ascii="Bookman Old Style" w:hAnsi="Bookman Old Style"/>
                <w:b/>
                <w:bCs/>
                <w:color w:val="0E2FB0"/>
                <w:spacing w:val="80"/>
              </w:rPr>
              <w:t>TER COUNCIL</w:t>
            </w:r>
          </w:p>
          <w:p w14:paraId="66E14E82" w14:textId="77777777" w:rsidR="00C430F6" w:rsidRPr="00C430F6" w:rsidRDefault="00C430F6" w:rsidP="00C430F6">
            <w:pPr>
              <w:kinsoku w:val="0"/>
              <w:spacing w:before="180" w:line="360" w:lineRule="auto"/>
              <w:ind w:left="684" w:right="-150" w:hanging="864"/>
              <w:jc w:val="center"/>
              <w:rPr>
                <w:b/>
                <w:bCs/>
                <w:i/>
                <w:iCs/>
                <w:color w:val="0E2FB0"/>
                <w:spacing w:val="-6"/>
                <w:sz w:val="17"/>
                <w:szCs w:val="17"/>
              </w:rPr>
            </w:pPr>
            <w:r w:rsidRPr="00C430F6">
              <w:rPr>
                <w:b/>
                <w:bCs/>
                <w:i/>
                <w:iCs/>
                <w:color w:val="0E2FB0"/>
                <w:spacing w:val="-7"/>
                <w:sz w:val="20"/>
                <w:szCs w:val="20"/>
              </w:rPr>
              <w:t xml:space="preserve">682 East Vine Street, Suite 7   I   Murray, </w:t>
            </w:r>
            <w:proofErr w:type="gramStart"/>
            <w:r w:rsidRPr="00C430F6">
              <w:rPr>
                <w:b/>
                <w:bCs/>
                <w:i/>
                <w:iCs/>
                <w:color w:val="0E2FB0"/>
                <w:spacing w:val="-7"/>
                <w:sz w:val="20"/>
                <w:szCs w:val="20"/>
              </w:rPr>
              <w:t>Utah  84107</w:t>
            </w:r>
            <w:proofErr w:type="gramEnd"/>
            <w:r w:rsidRPr="00C430F6">
              <w:rPr>
                <w:b/>
                <w:bCs/>
                <w:i/>
                <w:iCs/>
                <w:color w:val="0E2FB0"/>
                <w:spacing w:val="-7"/>
                <w:sz w:val="20"/>
                <w:szCs w:val="20"/>
              </w:rPr>
              <w:t>-5501   I   (801) 685-2555   I   FAX (801) 685-2559</w:t>
            </w:r>
            <w:r w:rsidRPr="00C430F6">
              <w:rPr>
                <w:b/>
                <w:bCs/>
                <w:i/>
                <w:iCs/>
                <w:color w:val="0E2FB0"/>
                <w:spacing w:val="-7"/>
                <w:sz w:val="17"/>
                <w:szCs w:val="17"/>
              </w:rPr>
              <w:br/>
            </w:r>
            <w:r w:rsidRPr="00C430F6">
              <w:rPr>
                <w:b/>
                <w:bCs/>
                <w:i/>
                <w:iCs/>
                <w:color w:val="0E2FB0"/>
                <w:spacing w:val="-6"/>
                <w:sz w:val="20"/>
                <w:szCs w:val="20"/>
              </w:rPr>
              <w:t xml:space="preserve">Web Page: </w:t>
            </w:r>
            <w:hyperlink r:id="rId7" w:history="1">
              <w:r w:rsidRPr="00C430F6">
                <w:rPr>
                  <w:b/>
                  <w:bCs/>
                  <w:i/>
                  <w:iCs/>
                  <w:color w:val="0000FF"/>
                  <w:spacing w:val="-6"/>
                  <w:sz w:val="20"/>
                  <w:szCs w:val="20"/>
                  <w:u w:val="single"/>
                </w:rPr>
                <w:t>www.westernstateswater.org</w:t>
              </w:r>
            </w:hyperlink>
          </w:p>
          <w:p w14:paraId="6C8DB46E" w14:textId="77777777" w:rsidR="00C430F6" w:rsidRPr="00C430F6" w:rsidRDefault="00C430F6" w:rsidP="00C430F6">
            <w:pPr>
              <w:kinsoku w:val="0"/>
              <w:spacing w:before="180" w:line="360" w:lineRule="auto"/>
              <w:ind w:left="684" w:hanging="421"/>
              <w:jc w:val="center"/>
              <w:rPr>
                <w:b/>
                <w:bCs/>
                <w:i/>
                <w:iCs/>
                <w:color w:val="0E2FB0"/>
                <w:spacing w:val="-6"/>
                <w:sz w:val="17"/>
                <w:szCs w:val="17"/>
              </w:rPr>
            </w:pPr>
          </w:p>
        </w:tc>
      </w:tr>
    </w:tbl>
    <w:p w14:paraId="776C1EA0" w14:textId="77777777" w:rsidR="00C430F6" w:rsidRPr="00C430F6" w:rsidRDefault="00C430F6" w:rsidP="00C430F6"/>
    <w:p w14:paraId="09DFE427" w14:textId="4E9A0364" w:rsidR="00C430F6" w:rsidRPr="00C430F6" w:rsidRDefault="00C33710" w:rsidP="00C43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C430F6">
        <w:rPr>
          <w:rFonts w:ascii="Times New Roman" w:hAnsi="Times New Roman" w:cs="Times New Roman"/>
        </w:rPr>
        <w:t xml:space="preserve"> </w:t>
      </w:r>
      <w:r w:rsidR="001901D6">
        <w:rPr>
          <w:rFonts w:ascii="Times New Roman" w:hAnsi="Times New Roman" w:cs="Times New Roman"/>
        </w:rPr>
        <w:t>24</w:t>
      </w:r>
      <w:r w:rsidR="00C430F6">
        <w:rPr>
          <w:rFonts w:ascii="Times New Roman" w:hAnsi="Times New Roman" w:cs="Times New Roman"/>
        </w:rPr>
        <w:t>,</w:t>
      </w:r>
      <w:r w:rsidR="00C430F6" w:rsidRPr="00C430F6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</w:p>
    <w:p w14:paraId="0DA22985" w14:textId="63481A24" w:rsidR="00C430F6" w:rsidRPr="00C430F6" w:rsidRDefault="00C430F6" w:rsidP="00C430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0F6">
        <w:rPr>
          <w:rFonts w:ascii="Times New Roman" w:eastAsia="Times New Roman" w:hAnsi="Times New Roman" w:cs="Times New Roman"/>
          <w:b/>
          <w:sz w:val="24"/>
          <w:szCs w:val="24"/>
        </w:rPr>
        <w:t xml:space="preserve">WaDE </w:t>
      </w:r>
      <w:r w:rsidR="001901D6">
        <w:rPr>
          <w:rFonts w:ascii="Times New Roman" w:eastAsia="Times New Roman" w:hAnsi="Times New Roman" w:cs="Times New Roman"/>
          <w:b/>
          <w:sz w:val="24"/>
          <w:szCs w:val="24"/>
        </w:rPr>
        <w:t xml:space="preserve">Water Right </w:t>
      </w:r>
      <w:r w:rsidR="00C33710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Review</w:t>
      </w:r>
    </w:p>
    <w:p w14:paraId="211F9E8C" w14:textId="77777777" w:rsidR="00C430F6" w:rsidRPr="00C430F6" w:rsidRDefault="00C430F6" w:rsidP="00C430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3BF06" w14:textId="7DF35739" w:rsidR="00C36FBF" w:rsidRDefault="00C36FBF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is a set of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notes and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 </w:t>
      </w:r>
      <w:r w:rsidR="000332B0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Water Data Exchange (WaDE)</w:t>
      </w:r>
      <w:r w:rsidR="000332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 has 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assembled after reviewing the </w:t>
      </w:r>
      <w:r w:rsidR="001A4B10">
        <w:rPr>
          <w:rFonts w:ascii="Times New Roman" w:eastAsia="Times New Roman" w:hAnsi="Times New Roman" w:cs="Times New Roman"/>
          <w:color w:val="000000"/>
          <w:sz w:val="24"/>
          <w:szCs w:val="24"/>
        </w:rPr>
        <w:t>Utah Division of Water Resources (UDWR)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site specific time series gage data.  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questions relate to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unidentifiable elements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irregular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entries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general questions the </w:t>
      </w:r>
      <w:r w:rsidR="000332B0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WaDE</w:t>
      </w:r>
      <w:r w:rsidR="00536F81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 has </w:t>
      </w:r>
      <w:proofErr w:type="gramStart"/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best </w:t>
      </w:r>
      <w:r w:rsidR="001803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fit the provided set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into </w:t>
      </w:r>
      <w:r w:rsidR="00536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36F81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WaDE</w:t>
      </w:r>
      <w:r w:rsidR="00F269D2">
        <w:rPr>
          <w:rFonts w:ascii="Times New Roman" w:eastAsia="Times New Roman" w:hAnsi="Times New Roman" w:cs="Times New Roman"/>
          <w:color w:val="000000"/>
          <w:sz w:val="24"/>
          <w:szCs w:val="24"/>
        </w:rPr>
        <w:t>2.0</w:t>
      </w:r>
      <w:r w:rsidR="00536F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14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cloud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computing</w:t>
      </w:r>
      <w:r w:rsidR="00ED1DFF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ED1DFF" w:rsidRP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rogram</w:t>
      </w:r>
      <w:r w:rsidR="00ED1D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A1C7C7" w14:textId="4BA5F9A3" w:rsidR="00ED1DFF" w:rsidRDefault="00ED1DFF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66D11C" w14:textId="0F714B66" w:rsidR="00174D74" w:rsidRDefault="00174D74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</w:t>
      </w:r>
      <w:r w:rsidR="005966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Review:</w:t>
      </w:r>
    </w:p>
    <w:p w14:paraId="18A6AEF2" w14:textId="57B229DA" w:rsidR="001A4B10" w:rsidRPr="001A4B10" w:rsidRDefault="001A4B10" w:rsidP="001A4B1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1A4B1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Utah Points of Diversion</w:t>
        </w:r>
        <w:r w:rsidRPr="001A4B1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(link)</w:t>
        </w:r>
      </w:hyperlink>
      <w:r w:rsidRPr="001A4B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files for surface and groundwater were downloaded from the Utah SGID services</w:t>
      </w:r>
      <w:r w:rsidRPr="001A4B1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10C524" w14:textId="77777777" w:rsidR="00174D74" w:rsidRDefault="00174D74" w:rsidP="00B70D8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87FF7C" w14:textId="68569C83" w:rsidR="00206971" w:rsidRPr="00206971" w:rsidRDefault="00620909" w:rsidP="00012991">
      <w:pPr>
        <w:pBdr>
          <w:top w:val="single" w:sz="4" w:space="1" w:color="auto"/>
        </w:pBd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 #1: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53905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Mi</w:t>
      </w:r>
      <w:r w:rsidR="00853905" w:rsidRPr="00853905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ssing either a CFS or a Volume input value</w:t>
      </w:r>
      <w:r w:rsidR="00174D74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.</w:t>
      </w:r>
    </w:p>
    <w:p w14:paraId="745A587E" w14:textId="471EADAE" w:rsidR="00174D74" w:rsidRDefault="0085390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 records are missing either a CFS or a Volume input value.</w:t>
      </w:r>
    </w:p>
    <w:p w14:paraId="1B1D4FA5" w14:textId="4E854030" w:rsidR="00596658" w:rsidRDefault="005966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8BA441" w14:textId="2C50ED4E" w:rsidR="00536F81" w:rsidRPr="00206971" w:rsidRDefault="00536F81" w:rsidP="00536F81">
      <w:pPr>
        <w:pBdr>
          <w:top w:val="single" w:sz="4" w:space="1" w:color="auto"/>
        </w:pBd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 #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53905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Lengthy Owner information.</w:t>
      </w:r>
    </w:p>
    <w:p w14:paraId="66543CA3" w14:textId="034E92D7" w:rsidR="00A80E91" w:rsidRDefault="00853905" w:rsidP="00536F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records contain too much owner information.  WaDE only supports an </w:t>
      </w:r>
      <w:proofErr w:type="spellStart"/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>AllocationOwner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length of 250 and all records longer than this were removed.</w:t>
      </w:r>
    </w:p>
    <w:p w14:paraId="10A14079" w14:textId="15332758" w:rsidR="004B1DC1" w:rsidRDefault="004B1DC1" w:rsidP="00536F8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12FE5" w14:textId="40D43E10" w:rsidR="004B1DC1" w:rsidRPr="00206971" w:rsidRDefault="004B1DC1" w:rsidP="004B1DC1">
      <w:pPr>
        <w:pBdr>
          <w:top w:val="single" w:sz="4" w:space="1" w:color="auto"/>
        </w:pBdr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</w:pP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Query #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6209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853905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 xml:space="preserve">Missing or 1-many </w:t>
      </w:r>
      <w:proofErr w:type="gramStart"/>
      <w:r w:rsidR="00853905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>Priority</w:t>
      </w:r>
      <w:proofErr w:type="gramEnd"/>
      <w:r w:rsidR="00853905"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</w:rPr>
        <w:t xml:space="preserve"> Date information.</w:t>
      </w:r>
    </w:p>
    <w:p w14:paraId="307AAE54" w14:textId="086AAFD5" w:rsidR="00596658" w:rsidRPr="00853905" w:rsidRDefault="00853905" w:rsidP="0085390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 records are either missing water right p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riority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 the resulting combined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right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contains more than one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riority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WaDE does not support missing or 1-to-many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riority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853905"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water right.</w:t>
      </w:r>
    </w:p>
    <w:sectPr w:rsidR="00596658" w:rsidRPr="00853905" w:rsidSect="004B1DC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630E"/>
    <w:multiLevelType w:val="hybridMultilevel"/>
    <w:tmpl w:val="96F6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543"/>
    <w:multiLevelType w:val="hybridMultilevel"/>
    <w:tmpl w:val="CAB039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AEB7CC8"/>
    <w:multiLevelType w:val="hybridMultilevel"/>
    <w:tmpl w:val="47F05818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272CA"/>
    <w:multiLevelType w:val="hybridMultilevel"/>
    <w:tmpl w:val="DC2AFC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A2"/>
    <w:rsid w:val="00012991"/>
    <w:rsid w:val="000332B0"/>
    <w:rsid w:val="00113421"/>
    <w:rsid w:val="00174D74"/>
    <w:rsid w:val="0018032C"/>
    <w:rsid w:val="001901D6"/>
    <w:rsid w:val="001A4B10"/>
    <w:rsid w:val="00206971"/>
    <w:rsid w:val="003753A2"/>
    <w:rsid w:val="004B1DC1"/>
    <w:rsid w:val="00536F81"/>
    <w:rsid w:val="00596658"/>
    <w:rsid w:val="00620909"/>
    <w:rsid w:val="008167C4"/>
    <w:rsid w:val="00853905"/>
    <w:rsid w:val="00981A81"/>
    <w:rsid w:val="00A304FC"/>
    <w:rsid w:val="00A80E91"/>
    <w:rsid w:val="00A8664F"/>
    <w:rsid w:val="00B70D8B"/>
    <w:rsid w:val="00BB531C"/>
    <w:rsid w:val="00C33710"/>
    <w:rsid w:val="00C36FBF"/>
    <w:rsid w:val="00C430F6"/>
    <w:rsid w:val="00D13654"/>
    <w:rsid w:val="00D75D76"/>
    <w:rsid w:val="00DC36AE"/>
    <w:rsid w:val="00DE144D"/>
    <w:rsid w:val="00ED1DFF"/>
    <w:rsid w:val="00F2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31D9"/>
  <w15:chartTrackingRefBased/>
  <w15:docId w15:val="{42D62047-24AA-4F53-A957-12CCFAB6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430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70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gis.utah.gov/datasets/utahDNR::utah-points-of-diversion/explore?showTable=tru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esternstateswater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771C7-68A9-4F42-A0CA-A2BAEDFBE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James</dc:creator>
  <cp:keywords/>
  <dc:description/>
  <cp:lastModifiedBy>Ryan James</cp:lastModifiedBy>
  <cp:revision>23</cp:revision>
  <dcterms:created xsi:type="dcterms:W3CDTF">2021-07-01T16:55:00Z</dcterms:created>
  <dcterms:modified xsi:type="dcterms:W3CDTF">2022-02-24T22:20:00Z</dcterms:modified>
</cp:coreProperties>
</file>