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40" w:after="240"/>
        <w:jc w:val="center"/>
      </w:pPr>
      <w:r>
        <w:t>云河纪设计方案</w:t>
      </w:r>
    </w:p>
    <w:p>
      <w:pPr>
        <w:pStyle w:val="Subtitle"/>
        <w:jc w:val="center"/>
      </w:pPr>
      <w:r>
        <w:t>黄河文化探索与个人记忆</w:t>
      </w:r>
    </w:p>
    <w:p>
      <w:pPr>
        <w:spacing w:after="360"/>
        <w:ind w:firstLine="0"/>
        <w:jc w:val="center"/>
      </w:pPr>
      <w:r>
        <w:rPr>
          <w:b w:val="0"/>
        </w:rPr>
        <w:t>第三届河南省高等学校信息技术应用创新大赛</w:t>
        <w:br/>
        <w:t>赛题一  黄河记忆 黄河文化分布式数字档案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3816400"/>
            <wp:docPr id="1" name="Picture 1" descr="原生应用实际页面  河迹  文化观察  个人手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81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原生应用实际页面  河迹  文化观察  个人手账</w:t>
      </w:r>
    </w:p>
    <w:p>
      <w:r>
        <w:rPr>
          <w:b w:val="0"/>
        </w:rPr>
        <w:t>云河纪将黄河文化资料、可交互的观察视口和个人手账连接起来。用户可以围绕一件器物提出问题，核对资料，保存当时的观察角度，并在同一账号的另一台设备上重新打开。</w:t>
      </w:r>
    </w:p>
    <w:p>
      <w:pPr>
        <w:ind w:firstLine="0"/>
        <w:jc w:val="center"/>
      </w:pPr>
      <w:r>
        <w:rPr>
          <w:b w:val="0"/>
        </w:rPr>
        <w:t>校赛作品材料  版本 0.1.0</w:t>
        <w:br/>
        <w:t>2026 年 10 月 19 日</w:t>
      </w:r>
    </w:p>
    <w:p>
      <w:bookmarkStart w:id="1" w:name="page_overview"/>
      <w:pPr>
        <w:pStyle w:val="Heading1"/>
        <w:pageBreakBefore/>
      </w:pPr>
      <w:r>
        <w:t>作品摘要与阅读索引</w:t>
      </w:r>
      <w:bookmarkEnd w:id="1"/>
    </w:p>
    <w:p>
      <w:r>
        <w:rPr>
          <w:b w:val="0"/>
        </w:rPr>
        <w:t>云河纪是一款基于 ArkTS 与 ArkUI 开发的原生鸿蒙个人文化应用，面向学生、文化爱好者与研学中的个人使用者。作品以河南沿黄五城为线索，把文化档案的阅读、具体部位的观察、AI 辅助理解和个人记忆的重访放在连续的操作中。</w:t>
      </w:r>
    </w:p>
    <w:p>
      <w:r>
        <w:rPr>
          <w:b w:val="0"/>
        </w:rPr>
        <w:t>当前作品最有辨识度的体验是杜岭二号方鼎观察：用户提出“为什么四面方鼎有八组纹饰”，AI 根据对象资料给出解释与部位按钮；点击按钮后，原生视口转到四个折角。用户可以展开出处，把自己的发现整理为手账，保留原视角与采用时的资料依据。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313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当前成果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规模或范围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文化内容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五城共 20 条档案，条目均有来源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图片与阅读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16 张授权实景图，5 段城市简介，5 条诗文或题咏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观察与记忆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原生观察、部位聚焦、手账编辑、画面重建与重访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在线能力</w:t>
            </w:r>
          </w:p>
        </w:tc>
        <w:tc>
          <w:tcPr>
            <w:tcW w:type="dxa" w:w="731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方鼎真实模型问答，自建 HTTPS 账号与同账号同步</w:t>
            </w:r>
          </w:p>
        </w:tc>
      </w:tr>
    </w:tbl>
    <w:p>
      <w:pPr>
        <w:spacing w:after="0"/>
      </w:pPr>
    </w:p>
    <w:p>
      <w:pPr>
        <w:pStyle w:val="Heading2"/>
      </w:pPr>
      <w:r>
        <w:t>文档阅读索引</w:t>
      </w:r>
    </w:p>
    <w:p>
      <w:pPr>
        <w:ind w:firstLine="0"/>
      </w:pPr>
      <w:r>
        <w:rPr>
          <w:b w:val="0"/>
        </w:rPr>
        <w:t>第 1 至第 3 章说明用户需求、信息层级和首页档案设计；第 4 至第 9 章展示文化观察、AI、手账、跨端、图谱和鸿蒙交互；第 10 至第 14 章解释架构、数据逻辑、软硬件选型与测试；第 15 至第 16 章说明创新价值和下一阶段。文末列出主要资料来源与图片授权。</w:t>
      </w:r>
    </w:p>
    <w:p>
      <w:r>
        <w:rPr>
          <w:b w:val="0"/>
        </w:rPr>
        <w:t>本文截图取自实际安装运行的原生 HAP，部分为便于阅读的等比裁剪。历史双端截图在对应图注中注明日期。文化正文保持“初稿待校审”，程序化场景用于表达观察关系；小艺、鸿蒙账号和多端适配列为下一阶段。</w:t>
      </w:r>
    </w:p>
    <w:p>
      <w:bookmarkStart w:id="2" w:name="page_needs"/>
      <w:pPr>
        <w:pStyle w:val="Heading1"/>
        <w:pageBreakBefore/>
      </w:pPr>
      <w:r>
        <w:t>1 用户需求与设计目标</w:t>
      </w:r>
      <w:bookmarkEnd w:id="2"/>
    </w:p>
    <w:p>
      <w:pPr>
        <w:pStyle w:val="Heading2"/>
      </w:pPr>
      <w:r>
        <w:t>1.1 个人文化探索的使用问题</w:t>
      </w:r>
    </w:p>
    <w:p>
      <w:r>
        <w:rPr>
          <w:b w:val="0"/>
        </w:rPr>
        <w:t>文化浏览往往停留在“看过一张图、读过一段介绍”。遇到器形或遗址空间关系时，图片与长文之间缺少可操作的解释；收藏以后，用户也很难找回当时正在看哪个细节、为什么会产生疑问。云河纪选择把这些具体困难作为设计起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3118"/>
        <w:gridCol w:w="4762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使用场景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实际需要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对应设计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首次浏览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从城市与兴趣找到入口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五城河洛、主题与文化档案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观察器物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把文字对应到具体部位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热点标签、旋转缩放、AI 聚焦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留下发现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同时保存文字与观察位置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带相机参数的个人手账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再次阅读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找回原问题和当时的资料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全文搜索、冻结依据、原视角重温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换设备使用</w:t>
            </w:r>
          </w:p>
        </w:tc>
        <w:tc>
          <w:tcPr>
            <w:tcW w:type="dxa" w:w="311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同一人继续访问个人记录</w:t>
            </w:r>
          </w:p>
        </w:tc>
        <w:tc>
          <w:tcPr>
            <w:tcW w:type="dxa" w:w="476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账号隔离与 HTTPS 数据交换</w:t>
            </w:r>
          </w:p>
        </w:tc>
      </w:tr>
    </w:tbl>
    <w:p>
      <w:pPr>
        <w:spacing w:after="0"/>
      </w:pPr>
    </w:p>
    <w:p>
      <w:pPr>
        <w:pStyle w:val="Heading2"/>
      </w:pPr>
      <w:r>
        <w:t>1.2 设计目标与验收方式</w:t>
      </w:r>
    </w:p>
    <w:p>
      <w:r>
        <w:rPr>
          <w:b w:val="0"/>
        </w:rPr>
        <w:t>作品把“能否完成一次具体观察”作为功能设计的中心。进入对象后，用户应能指出一个部位、读到对应事实、留下自己的文字，再从记忆页回到这个位置。功能之间共享对象与记录标识，避免每个页面都成为独立的功能展示。</w:t>
      </w:r>
    </w:p>
    <w:p>
      <w:r>
        <w:rPr>
          <w:b w:val="0"/>
        </w:rPr>
        <w:t>对文化内容，验收看条目来源、图像署名和事实能否核对；对 AI，验收看回答是否引用当前对象的资料、动作是否能执行；对记忆，验收看本地落盘、全文编辑和回放参数；对跨端，验收看另一设备是否实际收到同一条记录。</w:t>
      </w:r>
    </w:p>
    <w:p>
      <w:r>
        <w:rPr>
          <w:b w:val="0"/>
        </w:rPr>
        <w:t>产品服务个人使用。主题与图谱从个人收藏、标签和手账派生，跨端指同一账号访问自己的记录；当前迭代不把多人协同编辑作为使用前提。</w:t>
      </w:r>
    </w:p>
    <w:p>
      <w:bookmarkStart w:id="3" w:name="page_information"/>
      <w:pPr>
        <w:pStyle w:val="Heading1"/>
        <w:pageBreakBefore/>
      </w:pPr>
      <w:r>
        <w:t>2 功能结构与页面层级</w:t>
      </w:r>
      <w:bookmarkEnd w:id="3"/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2664900"/>
            <wp:docPr id="2" name="Picture 2" descr="图 1  一级入口与各自承担的用户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266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一级入口与各自承担的用户任务</w:t>
      </w:r>
    </w:p>
    <w:p>
      <w:r>
        <w:rPr>
          <w:b w:val="0"/>
        </w:rPr>
        <w:t>底部三个主入口分别承担发现、回忆与检索。“我的”使用 HDS 浮动栏的独立 miniBar 入口，进入账号、路线与阅读偏好。一级页面只保留摘要和主要操作，长内容进入详情页，编辑则由原生手账弹层承接。</w:t>
      </w:r>
    </w:p>
    <w:p>
      <w:pPr>
        <w:pStyle w:val="Heading2"/>
      </w:pPr>
      <w:r>
        <w:t>2.1 对象详情与手账详情的关系</w:t>
      </w:r>
    </w:p>
    <w:p>
      <w:r>
        <w:rPr>
          <w:b w:val="0"/>
        </w:rPr>
        <w:t>文化档案详情围绕一个文化对象组织观察、事实、资料和记录入口；手账详情围绕一篇个人记录展示全文、标签、保存视角与保存时依据。用户在手账里选择“重温”，进入对象并恢复相机；选择“编辑”，沿原记录标识更新内容。</w:t>
      </w:r>
    </w:p>
    <w:p>
      <w:pPr>
        <w:pStyle w:val="Heading2"/>
      </w:pPr>
      <w:r>
        <w:t>2.2 AI 在各页面中的位置</w:t>
      </w:r>
    </w:p>
    <w:p>
      <w:r>
        <w:rPr>
          <w:b w:val="0"/>
        </w:rPr>
        <w:t>河迹提供方鼎观察入口，档案可以筛选真实支持 AI 的对象，记忆支持 AI 辅助手账筛选与单篇重访，我的概况显示当前账号真实 AI 手账数。AI 的入口随具体对象和个人记录出现，当前支持清单只有杜岭二号方鼎。</w:t>
      </w:r>
    </w:p>
    <w:p>
      <w:bookmarkStart w:id="4" w:name="page_home"/>
      <w:pPr>
        <w:pStyle w:val="Heading1"/>
        <w:pageBreakBefore/>
      </w:pPr>
      <w:r>
        <w:t>3 首页发现与文化档案</w:t>
      </w:r>
      <w:bookmarkEnd w:id="4"/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3816400"/>
            <wp:docPr id="3" name="Picture 3" descr="图 2  五城选择  纸页入口  档案检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81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五城选择  纸页入口  档案检索</w:t>
      </w:r>
    </w:p>
    <w:p>
      <w:r>
        <w:rPr>
          <w:b w:val="0"/>
        </w:rPr>
        <w:t>五城河洛以原生 Canvas 呈现由西向东的河谷与城市节点。用户拖动或双指缩放观察，点击下方城市按钮后，节点、标题、城市简介、档案数量与“查看档案”入口同步更新。城市的选择结果继续用于档案筛选，减少重复选择。</w:t>
      </w:r>
    </w:p>
    <w:p>
      <w:r>
        <w:rPr>
          <w:b w:val="0"/>
        </w:rPr>
        <w:t>档案库采用关键词、城市、年代和类型的组合筛选，显示真实结果数，支持重置与空结果提示。详情按概览、考古与遗存、历史线索、诗文和探访信息分层；照片保留图注与署名。首页最近记忆则让用户直接回到上一次保存的观察。</w:t>
      </w:r>
    </w:p>
    <w:p>
      <w:bookmarkStart w:id="5" w:name="page_observation"/>
      <w:pPr>
        <w:pStyle w:val="Heading1"/>
        <w:pageBreakBefore/>
      </w:pPr>
      <w:r>
        <w:t>4 文化观察与原生视口</w:t>
      </w:r>
      <w:bookmarkEnd w:id="5"/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3355800"/>
            <wp:docPr id="4" name="Picture 4" descr="图 3  方鼎不同部位的原生画布与界面局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35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方鼎不同部位的原生画布与界面局部</w:t>
      </w:r>
    </w:p>
    <w:p>
      <w:r>
        <w:rPr>
          <w:b w:val="0"/>
        </w:rPr>
        <w:t>观察视口把文化资料中的位置关系变成可以操作的对象。用户可以旋转、缩放并选取部位；当前热点与相机状态共同驱动画面和说明。杜岭二号方鼎将壁面正中、四个折角和乳钉边框设为三个独立观察目标，使“八组纹饰”有可以定位的解释。</w:t>
      </w:r>
    </w:p>
    <w:p>
      <w:r>
        <w:rPr>
          <w:b w:val="0"/>
        </w:rPr>
        <w:t>程序化几何围绕学习问题表达结构关系，比例、装饰与表面细节经过简化。它不承担文物测绘或考古复原用途。用户可以从详情继续查看馆方事实和实景图，在示意结构与原始材料之间核对。</w:t>
      </w:r>
    </w:p>
    <w:p>
      <w:r>
        <w:rPr>
          <w:b w:val="0"/>
        </w:rPr>
        <w:t>CulturalEngineViewport 管理手势、相机、聚焦与回放；原生渲染器负责投影、面排序、光照和命中。静态首页沙盘按需绘制，后台或不可见视口停止持续刷新，避免展示无变化时仍反复绘制。</w:t>
      </w:r>
    </w:p>
    <w:p>
      <w:bookmarkStart w:id="6" w:name="page_ai_experience"/>
      <w:pPr>
        <w:pStyle w:val="Heading1"/>
        <w:pageBreakBefore/>
      </w:pPr>
      <w:r>
        <w:t>5 AI 观察的用户流程</w:t>
      </w:r>
      <w:bookmarkEnd w:id="6"/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3290000"/>
            <wp:docPr id="5" name="Picture 5" descr="图 4  AI 回答与部位动作  原始依据原地展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2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AI 回答与部位动作  原始依据原地展开</w:t>
      </w:r>
    </w:p>
    <w:p>
      <w:r>
        <w:rPr>
          <w:b w:val="0"/>
        </w:rPr>
        <w:t>用户问“我只看到四个，带我看看另外几个”，回答将四壁正中与四个折角对应起来，并提供“看四个折角”等可点击操作。点击后先收起键盘，再把模型带回可见区域，显示已聚焦反馈；继续追问返回原面板，保留上下文。</w:t>
      </w:r>
    </w:p>
    <w:p>
      <w:r>
        <w:rPr>
          <w:b w:val="0"/>
        </w:rPr>
        <w:t>回答旁的依据来自该对象的资料事实，显示事实内容、发布机构与核验日期。用户写一句自己的观察后，可以请求整理手账草稿。草稿进入原生编辑器，用户核对、修改并确认保存；单次模型返回不会直接改动个人记录。</w:t>
      </w:r>
    </w:p>
    <w:p>
      <w:r>
        <w:rPr>
          <w:b w:val="0"/>
        </w:rPr>
        <w:t>当前模型为 DeepSeek deepseek-flash，首个完整对象为杜岭二号方鼎。固定小样 9 次请求均通过应用回复契约，耗时约 1.9 至 2.4 秒；这组结果用于说明当前样板的实测情况。</w:t>
      </w:r>
    </w:p>
    <w:p>
      <w:bookmarkStart w:id="7" w:name="page_ai_contract"/>
      <w:pPr>
        <w:pStyle w:val="Heading1"/>
        <w:pageBreakBefore/>
      </w:pPr>
      <w:r>
        <w:t>6 AI 契约与依据处理</w:t>
      </w:r>
      <w:bookmarkEnd w:id="7"/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2138500"/>
            <wp:docPr id="6" name="Picture 6" descr="图 5  提问  结构化生成  校验  呈现  用户执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21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提问  结构化生成  校验  呈现  用户执行</w:t>
      </w:r>
    </w:p>
    <w:p>
      <w:pPr>
        <w:pStyle w:val="Heading2"/>
      </w:pPr>
      <w:r>
        <w:t>6.1 将资料与动作约束为可校验数据</w:t>
      </w:r>
    </w:p>
    <w:p>
      <w:r>
        <w:rPr>
          <w:b w:val="0"/>
        </w:rPr>
        <w:t>客户端发送对象标识、场景修订、当前热点、问题和有限轮次上下文。服务端注入当前对象的事实与热点清单，调用模型并强制返回 submit_observation 结构。回复经领域契约校验后，才进入原生页面。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628"/>
        <w:gridCol w:w="402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回复内容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允许范围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页面处理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事实引用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本对象资料中的事实编号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显示原文、来源与日期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观察动作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聚焦已知热点或展开依据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用户点击后执行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个人草稿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用户本次观察与引用资料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进入编辑器，由用户确认</w:t>
            </w:r>
          </w:p>
        </w:tc>
      </w:tr>
    </w:tbl>
    <w:p>
      <w:pPr>
        <w:spacing w:after="0"/>
      </w:pPr>
    </w:p>
    <w:p>
      <w:pPr>
        <w:pStyle w:val="Heading2"/>
      </w:pPr>
      <w:r>
        <w:t>6.2 保存后仍能解释资料从何而来</w:t>
      </w:r>
    </w:p>
    <w:p>
      <w:r>
        <w:rPr>
          <w:b w:val="0"/>
        </w:rPr>
        <w:t>AI 手账保存原问题、采用时的事实正文、来源与修订号。再次打开时展示这份保存依据；用户带着单篇手账提问时，服务端将正文作为个人观察，重新按对象资料回答。请求只带当前篇的必要内容，模型密钥保留在服务端。</w:t>
      </w:r>
    </w:p>
    <w:p>
      <w:r>
        <w:rPr>
          <w:b w:val="0"/>
        </w:rPr>
        <w:t>网络失败、模型未配置或超时会显示对应状态，并保留本地观察与手写能力。非法事实编号或非法动作被拒绝，页面不执行模型自由生成的脚本。</w:t>
      </w:r>
    </w:p>
    <w:p>
      <w:bookmarkStart w:id="8" w:name="page_memory"/>
      <w:pPr>
        <w:pStyle w:val="Heading1"/>
        <w:pageBreakBefore/>
      </w:pPr>
      <w:r>
        <w:t>7 个人手账与记忆重访</w:t>
      </w:r>
      <w:bookmarkEnd w:id="8"/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3717700"/>
            <wp:docPr id="7" name="Picture 7" descr="图 6  记忆检索与保存时依据  真实原生界面局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71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记忆检索与保存时依据  真实原生界面局部</w:t>
      </w:r>
    </w:p>
    <w:p>
      <w:r>
        <w:rPr>
          <w:b w:val="0"/>
        </w:rPr>
        <w:t>记忆页把手账与收藏分开，支持正文、标签与曾经问题的本地文本搜索，也可以只看 AI 辅助记录。列表适合寻找内容，画廊按保存画幅重建画面；完整正文进入单篇阅读页，阅读、重温和提问各有明确操作。</w:t>
      </w:r>
    </w:p>
    <w:p>
      <w:r>
        <w:rPr>
          <w:b w:val="0"/>
        </w:rPr>
        <w:t>一篇带视角的手账同时保存个人正文、档案摘录、标签、印章、纸色以及相机和场景参数。用户从预览选择重温后，应用进入原对象，恢复热点与角度；待实际绘制完成，才显示已回到手账视角。普通旧笔记继续以文字形式阅读。</w:t>
      </w:r>
    </w:p>
    <w:p>
      <w:r>
        <w:rPr>
          <w:b w:val="0"/>
        </w:rPr>
        <w:t>编辑沿用原记录标识和保存视角，返回后按更新时间刷新全文。删除经确认后写入墓碑，使同账号其他设备也能收到删除结果。主题进度由有效观察记录或显式探索行为产生，打开一个页面不会自动完成路线。</w:t>
      </w:r>
    </w:p>
    <w:p>
      <w:bookmarkStart w:id="9" w:name="page_sync"/>
      <w:pPr>
        <w:pStyle w:val="Heading1"/>
        <w:pageBreakBefore/>
      </w:pPr>
      <w:r>
        <w:t>8 同账号同步与离线使用</w:t>
      </w:r>
      <w:bookmarkEnd w:id="9"/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3520300"/>
            <wp:docPr id="8" name="Picture 8" descr="图 7  2026 年 10 月 17 日双端手账记录  截图为该阶段布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52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2026 年 10 月 17 日双端手账记录  截图为该阶段布局</w:t>
      </w:r>
    </w:p>
    <w:p>
      <w:r>
        <w:rPr>
          <w:b w:val="0"/>
        </w:rPr>
        <w:t>同账号跨端延续围绕一条真实个人记录展开：A 端确认保存，记录先写入本机 Preferences；自建账号服务通过 HTTPS 交换数据；B 端登录同一账号后收到正文、标签和观察参数，并在自己的原生视口重新绘制。</w:t>
      </w:r>
    </w:p>
    <w:p>
      <w:r>
        <w:rPr>
          <w:b w:val="0"/>
        </w:rPr>
        <w:t>已记录的双端验证使用两台 HarmonyOS 7 / API 26 手机模拟器和本机 HTTPS 服务。该场景中，两端 1032×1050 的完整 Canvas 比较为零像素差异，首页预览也逐像素一致。结果对应当时的主包和用例，不代表后续每次内容更新都完成了双端复验。</w:t>
      </w:r>
    </w:p>
    <w:p>
      <w:r>
        <w:rPr>
          <w:b w:val="0"/>
        </w:rPr>
        <w:t>校赛阶段保留独立账号服务，腾讯云为服务部署承载方案。切换云端需完成地址、证书与演示设备联调；鸿蒙账号与华为分布式数据能力列入后续接入。离线时随包文化资料和已落盘记录继续可用，当前账号的离线冷启动会话恢复仍待补齐。</w:t>
      </w:r>
    </w:p>
    <w:p>
      <w:bookmarkStart w:id="10" w:name="page_journeys"/>
      <w:pPr>
        <w:pStyle w:val="Heading1"/>
        <w:pageBreakBefore/>
      </w:pPr>
      <w:r>
        <w:t>9 主题漫游与文明连线</w:t>
      </w:r>
      <w:bookmarkEnd w:id="10"/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3553200"/>
            <wp:docPr id="9" name="Picture 9" descr="图 8  主题路线与五城关系图谱  来自对应阶段原生 H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55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主题路线与五城关系图谱  来自对应阶段原生 HAP</w:t>
      </w:r>
    </w:p>
    <w:p>
      <w:r>
        <w:rPr>
          <w:b w:val="0"/>
        </w:rPr>
        <w:t>三条主题路线为“寻夏记”“泥火成器”“折叠的都城”，把分散档案组织为可逐处探索的阅读顺序。路线显示节点、真实进度与下一处内容；用户达到既定探索进度或留下有效手账后，才点亮对应节点，全部完成后显示纪念章。</w:t>
      </w:r>
    </w:p>
    <w:p>
      <w:r>
        <w:rPr>
          <w:b w:val="0"/>
        </w:rPr>
        <w:t>文明连线把城市、档案与主题关联呈现在同一画布中。选取节点后显示关联列表，并可进入档案对照。个人图谱从真实收藏、手账和共同标签派生，让“我曾经关注过什么”成为可再次进入的文化路径。</w:t>
      </w:r>
    </w:p>
    <w:p>
      <w:r>
        <w:rPr>
          <w:b w:val="0"/>
        </w:rPr>
        <w:t>档案对照围绕器形、纹饰位置和出土记录等有资料支持的维度组织。图谱连线表示主题或资料关联，路线表示阅读顺序；地理距离、历史因果和技术演化需要另有证据。这样的约束也便于后续为不同对象增加独立 AI 知识范围。</w:t>
      </w:r>
    </w:p>
    <w:p>
      <w:bookmarkStart w:id="11" w:name="page_native"/>
      <w:pPr>
        <w:pStyle w:val="Heading1"/>
        <w:pageBreakBefore/>
      </w:pPr>
      <w:r>
        <w:t>10 鸿蒙交互与视觉设计</w:t>
      </w:r>
      <w:bookmarkEnd w:id="11"/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1118600"/>
            <wp:docPr id="10" name="Picture 10" descr="图 9  HDS 原生标题与浮动导航局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111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  HDS 原生标题与浮动导航局部</w:t>
      </w:r>
    </w:p>
    <w:p>
      <w:r>
        <w:rPr>
          <w:b w:val="0"/>
        </w:rPr>
        <w:t>暖白底色、玫瑰主色、纸页入口与手账纸色围绕个人文化记忆统一。主动作、选中与印章使用同一强调色，资料与个人表达在内容层级上区分。长内容进入详情，资料按需展开，主要保存操作固定在编辑弹层的可达区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030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鸿蒙能力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使用位置与作用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ArkUI 与 HDS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HdsNavigation、HdsTabs 组织导航；miniBar 提供独立“我的”入口。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API 26 系统材质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标题栏与浮动 Dock 按设备能力启用；关闭偏好时回退为语义底色。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原生 Canvas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统一绘制河谷、器物、热点与回放；相机状态与界面操作同步。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Preferences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离线保存个人档案，串行落盘并保留前一快照。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NetworkKit</w:t>
            </w:r>
          </w:p>
        </w:tc>
        <w:tc>
          <w:tcPr>
            <w:tcW w:type="dxa" w:w="703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经 HTTPS 完成账号、同步与 AI 请求，校验证书与主机名。</w:t>
            </w:r>
          </w:p>
        </w:tc>
      </w:tr>
    </w:tbl>
    <w:p>
      <w:pPr>
        <w:spacing w:after="0"/>
      </w:pPr>
    </w:p>
    <w:p>
      <w:r>
        <w:rPr>
          <w:b w:val="0"/>
        </w:rPr>
        <w:t>系统适配使用独立深色资源、语义色和减少动态偏好。HDS 材质先检查系统与设备支持，在官方支持区域使用；关闭材质后保持导航和正文可读。当前工程的目标与最低 SDK 均为 API 26，多端与更广设备矩阵仍在后续计划中。</w:t>
      </w:r>
    </w:p>
    <w:p>
      <w:bookmarkStart w:id="12" w:name="page_architecture"/>
      <w:pPr>
        <w:pStyle w:val="Heading1"/>
        <w:pageBreakBefore/>
      </w:pPr>
      <w:r>
        <w:t>11 总体技术架构</w:t>
      </w:r>
      <w:bookmarkEnd w:id="12"/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3421600"/>
            <wp:docPr id="11" name="Picture 11" descr="图 10  页面  视口  领域  平台  服务的职责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42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页面  视口  领域  平台  服务的职责分层</w:t>
      </w:r>
    </w:p>
    <w:p>
      <w:r>
        <w:rPr>
          <w:b w:val="0"/>
        </w:rPr>
        <w:t>页面层组织用户任务，视口层把手势、部位与相机联动，领域层保存不依赖平台的筛选、进度、合并和 AI 校验规则。Preferences、原生绘制、系统材质与网络接口集中在平台、数据和同步层，纯领域文件不导入 @kit 能力或 UI 组件。</w:t>
      </w:r>
    </w:p>
    <w:p>
      <w:r>
        <w:rPr>
          <w:b w:val="0"/>
        </w:rPr>
        <w:t>自建服务承接账号会话、SQLite 数据交换和模型调用，客户端只消费经校验的业务数据。当前演示的文化画布使用原生 Canvas；工程保留独立 ArkWeb 绘制兼容通道，其存在不改变页面、账号与存储由原生工程承担的分层。</w:t>
      </w:r>
    </w:p>
    <w:p>
      <w:bookmarkStart w:id="13" w:name="page_data_logic"/>
      <w:pPr>
        <w:pStyle w:val="Heading1"/>
        <w:pageBreakBefore/>
      </w:pPr>
      <w:r>
        <w:t>12 数据保存与状态逻辑</w:t>
      </w:r>
      <w:bookmarkEnd w:id="13"/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1513400"/>
            <wp:docPr id="12" name="Picture 12" descr="图 11  从确认保存到同账号另一端回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-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151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 从确认保存到同账号另一端回放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4082"/>
        <w:gridCol w:w="3628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记录组成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关键字段或内容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作用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记录身份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稳定 ID、更新时间、删除标记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支持编辑、合并与删除传播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个人表达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正文、标签、印章、纸色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保留用户确认的记忆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观察画面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热点、角度、缩放、画幅、场景修订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在兼容场景中重建视角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AI 参考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原问题、事实正文、来源、资料修订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保留采用时的解释依据</w:t>
            </w:r>
          </w:p>
        </w:tc>
      </w:tr>
    </w:tbl>
    <w:p>
      <w:pPr>
        <w:spacing w:after="0"/>
      </w:pPr>
    </w:p>
    <w:p>
      <w:pPr>
        <w:pStyle w:val="Heading2"/>
      </w:pPr>
      <w:r>
        <w:t>12.1 保存与同步状态的发布时机</w:t>
      </w:r>
    </w:p>
    <w:p>
      <w:r>
        <w:rPr>
          <w:b w:val="0"/>
        </w:rPr>
        <w:t>保存完成以本机写入成功为前提。请求期间的修改与当前快照合并，避免旧响应覆盖新编辑；同步时间只在响应校验和远端变更落盘完成后更新。失败时保留当前记录与上次确认状态，用户可以继续本地使用。</w:t>
      </w:r>
    </w:p>
    <w:p>
      <w:pPr>
        <w:pStyle w:val="Heading2"/>
      </w:pPr>
      <w:r>
        <w:t>12.2 旧记录与异常内容的处理</w:t>
      </w:r>
    </w:p>
    <w:p>
      <w:r>
        <w:rPr>
          <w:b w:val="0"/>
        </w:rPr>
        <w:t>手账沿用现有 schema v1，在可选元数据中保存新能力。旧记录按原格式阅读，读取损坏时提示并阻止覆盖，删除保留墓碑。回放核对对象、场景修订和渲染参数，避免把不兼容数据当作当前视图展示。</w:t>
      </w:r>
    </w:p>
    <w:p>
      <w:bookmarkStart w:id="14" w:name="page_environment"/>
      <w:pPr>
        <w:pStyle w:val="Heading1"/>
        <w:pageBreakBefore/>
      </w:pPr>
      <w:r>
        <w:t>13 软硬件选型与运行条件</w:t>
      </w:r>
      <w:bookmarkEnd w:id="14"/>
    </w:p>
    <w:p>
      <w:r>
        <w:rPr>
          <w:b w:val="0"/>
        </w:rPr>
        <w:t>选型以能交付原生手机体验、离线文化内容和可验证的同账号路径为依据。客户端使用一套 ArkTS 工程，服务端集中处理账号、同步与 AI。校赛验证使用团队可运行的手机模拟器，后续再增加实机与其他屏幕形态的适配。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005"/>
        <w:gridCol w:w="464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类别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采用方案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选型理由或已验证条件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客户端系统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HarmonyOS 7 / API 26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当前工程目标与最低版本一致。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开发与构建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DevEco Studio、Hvigor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使用原生 SDK、HAP 构建与调试链路。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界面语言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ArkTS / ArkUI / HDS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页面、导航、编辑器与系统能力原生接入。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观察绘制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ArkUI Canvas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目标模拟器中可运行，热点与回放共用相机。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本地存储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Preferences 快照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内容随包提供，个人记录先本地确认。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账号与同步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Node.js、SQLite、HTTPS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账号隔离与真实数据交换；云端采用腾讯云部署方案。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在线模型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DeepSeek deepseek-flash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结构化函数调用；当前服务方鼎观察。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验证设备</w:t>
            </w:r>
          </w:p>
        </w:tc>
        <w:tc>
          <w:tcPr>
            <w:tcW w:type="dxa" w:w="300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两台手机模拟器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HarmonyOS 7.0.0.107；截图 1256×2760，density 560。</w:t>
            </w:r>
          </w:p>
        </w:tc>
      </w:tr>
    </w:tbl>
    <w:p>
      <w:pPr>
        <w:spacing w:after="0"/>
      </w:pPr>
    </w:p>
    <w:p>
      <w:r>
        <w:rPr>
          <w:b w:val="0"/>
        </w:rPr>
        <w:t>在线 AI 与跨端交换依赖可达的账号服务及模型配置；离线阅读、手动观察与已有本地手账可以独立使用。当前构建有未配置签名的提示，模拟器安装验证与正式签名交付分别管理。</w:t>
      </w:r>
    </w:p>
    <w:p>
      <w:bookmarkStart w:id="15" w:name="page_tests"/>
      <w:pPr>
        <w:pStyle w:val="Heading1"/>
        <w:pageBreakBefore/>
      </w:pPr>
      <w:r>
        <w:t>14 测试方法与实测结果</w:t>
      </w:r>
      <w:bookmarkEnd w:id="15"/>
    </w:p>
    <w:p>
      <w:r>
        <w:rPr>
          <w:b w:val="0"/>
        </w:rPr>
        <w:t>验证围绕评委能够体验的路径展开：查找档案、观察方鼎、AI 提问与聚焦、确认保存、全文编辑、记忆重访与同账号接收。用例使用独立 Preferences 和合成账号，并检查报告中的 Pass、Failure、Error 与 Ignore。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5386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验证范围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结果</w:t>
            </w:r>
          </w:p>
        </w:tc>
        <w:tc>
          <w:tcPr>
            <w:tcW w:type="dxa" w:w="53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日期与适用范围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本地领域与存储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103/103</w:t>
            </w:r>
          </w:p>
        </w:tc>
        <w:tc>
          <w:tcPr>
            <w:tcW w:type="dxa" w:w="53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2026-10-19 本次材料制作前复跑。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设备报告解析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9/9</w:t>
            </w:r>
          </w:p>
        </w:tc>
        <w:tc>
          <w:tcPr>
            <w:tcW w:type="dxa" w:w="53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2026-10-19 复跑，验证报告判定逻辑。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主包构建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成功</w:t>
            </w:r>
          </w:p>
        </w:tc>
        <w:tc>
          <w:tcPr>
            <w:tcW w:type="dxa" w:w="53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2026-10-19 BUILD SUCCESSFUL，保留签名提示。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账号与 AI 服务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11/11</w:t>
            </w:r>
          </w:p>
        </w:tc>
        <w:tc>
          <w:tcPr>
            <w:tcW w:type="dxa" w:w="53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2026-10-18 交付记录，模型使用受控替身。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最新内容包页面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1/1</w:t>
            </w:r>
          </w:p>
        </w:tc>
        <w:tc>
          <w:tcPr>
            <w:tcW w:type="dxa" w:w="53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2026-10-18，档案、记忆、我的核心路径，94704ms。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真实 AI 与层级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2/2</w:t>
            </w:r>
          </w:p>
        </w:tc>
        <w:tc>
          <w:tcPr>
            <w:tcW w:type="dxa" w:w="53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2026-10-18 对应阶段包，269260ms。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双端新手账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A 1/1，B 1/1</w:t>
            </w:r>
          </w:p>
        </w:tc>
        <w:tc>
          <w:tcPr>
            <w:tcW w:type="dxa" w:w="538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2026-10-17，真实保存、接收与原视角回放。</w:t>
            </w:r>
          </w:p>
        </w:tc>
      </w:tr>
    </w:tbl>
    <w:p>
      <w:pPr>
        <w:spacing w:after="0"/>
      </w:pPr>
    </w:p>
    <w:p>
      <w:r>
        <w:rPr>
          <w:b w:val="0"/>
        </w:rPr>
        <w:t>以上设备完整报告的 Failure、Error、Ignore 均为 0。真实 AI 固定小样另有 9/9 契约通过记录，单次 1883 至 2409ms；这项耗时衡量模型调用，不替代用户完整操作时长。</w:t>
      </w:r>
    </w:p>
    <w:p>
      <w:r>
        <w:rPr>
          <w:b w:val="0"/>
        </w:rPr>
        <w:t>当前材料没有把不同版本的通过项合并为一套全量回归。最新内容包未重跑完整历史 UI 或当前版本双端 AI，实机、平板、折叠屏与完整无障碍矩阵仍待验证。原始结果在项目测试报告第 23、25、27、28 节按包与阶段绑定。</w:t>
      </w:r>
    </w:p>
    <w:p>
      <w:bookmarkStart w:id="16" w:name="page_verification"/>
      <w:pPr>
        <w:pStyle w:val="Heading1"/>
        <w:pageBreakBefore/>
      </w:pPr>
      <w:r>
        <w:t>14.1 关键验收与问题修复</w:t>
      </w:r>
      <w:bookmarkEnd w:id="16"/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2599100"/>
            <wp:docPr id="13" name="Picture 13" descr="图 12  方鼎保存画布与回放画布  同一对象参数重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a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259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 方鼎保存画布与回放画布  同一对象参数重建</w:t>
      </w:r>
    </w:p>
    <w:p>
      <w:r>
        <w:rPr>
          <w:b w:val="0"/>
        </w:rPr>
        <w:t>回放验收同时检查记录与实际绘制：正文和相机参数先落盘、回读，再进入对象重绘。方鼎专项核对保存部位、旋转后的角度与原画幅；双端手账专项另外比较两端完整 Canvas，记录了 1032×1050 零像素差异。两个场景分别保留自己的结果范围。</w:t>
      </w:r>
    </w:p>
    <w:p>
      <w:pPr>
        <w:pStyle w:val="Heading2"/>
      </w:pPr>
      <w:r>
        <w:t>编辑后仍显示旧正文</w:t>
      </w:r>
    </w:p>
    <w:p>
      <w:r>
        <w:rPr>
          <w:b w:val="0"/>
        </w:rPr>
        <w:t>曾出现数据已经落盘、返回页面却保留旧正文的问题。实现改为按记录 ID 取当前快照，并以 ID 与更新时间重建内容区域；设备用例核对全文替换、磁盘内容、返回后显示与原视角保留。</w:t>
      </w:r>
    </w:p>
    <w:p>
      <w:pPr>
        <w:pStyle w:val="Heading2"/>
      </w:pPr>
      <w:r>
        <w:t>聚焦后的模型反馈与输入焦点</w:t>
      </w:r>
    </w:p>
    <w:p>
      <w:r>
        <w:rPr>
          <w:b w:val="0"/>
        </w:rPr>
        <w:t>AI 聚焦后将模型滚回可见区域，并显示具体部位；“继续追问”恢复原会话。延迟请求输入焦点曾触发系统异常，现检查页面状态并处理异常，保留手动点选输入的方式。</w:t>
      </w:r>
    </w:p>
    <w:p>
      <w:pPr>
        <w:pStyle w:val="Heading2"/>
      </w:pPr>
      <w:r>
        <w:t>静态沙盘与可感知操作</w:t>
      </w:r>
    </w:p>
    <w:p>
      <w:r>
        <w:rPr>
          <w:b w:val="0"/>
        </w:rPr>
        <w:t>河谷减少网格并取消静态持续重绘，城市选择使用原生按钮，选中后同步节点、标题与档案入口。修复后沿首页与方鼎观察路径定向复验，确保每个动作都有可见结果。</w:t>
      </w:r>
    </w:p>
    <w:p>
      <w:bookmarkStart w:id="17" w:name="page_value"/>
      <w:pPr>
        <w:pStyle w:val="Heading1"/>
        <w:pageBreakBefore/>
      </w:pPr>
      <w:r>
        <w:t>15 创新价值与迭代路线</w:t>
      </w:r>
      <w:bookmarkEnd w:id="17"/>
    </w:p>
    <w:p>
      <w:pPr>
        <w:pStyle w:val="Heading2"/>
      </w:pPr>
      <w:r>
        <w:t>15.1 对象理解进入交互过程</w:t>
      </w:r>
    </w:p>
    <w:p>
      <w:r>
        <w:rPr>
          <w:b w:val="0"/>
        </w:rPr>
        <w:t>本作品的创新集中在解释如何被用户验证。AI 回复包含资料引用与可执行部位动作，原生视口负责呈现位置，用户可以围绕同一对象继续追问。方鼎的“四面与八组”提供了清楚的实例：一个问题对应可见部位，再对应可以打开的资料。</w:t>
      </w:r>
    </w:p>
    <w:p>
      <w:pPr>
        <w:pStyle w:val="Heading2"/>
      </w:pPr>
      <w:r>
        <w:t>15.2 个人记忆保留观察的上下文</w:t>
      </w:r>
    </w:p>
    <w:p>
      <w:r>
        <w:rPr>
          <w:b w:val="0"/>
        </w:rPr>
        <w:t>手账记录个人文字，也记录当时的观察角度、画幅与采用的资料。再次访问时，用户可以从一篇记录返回原对象；在另一设备上收到同一条记录后，也能按相同参数重建。这为日常文化阅读和研学后的个人回顾提供了连续使用的理由。</w:t>
      </w:r>
    </w:p>
    <w:p>
      <w:pPr>
        <w:pStyle w:val="Heading2"/>
      </w:pPr>
      <w:r>
        <w:t>15.3 已实现基础上的下一阶段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12"/>
        <w:gridCol w:w="345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方向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下一阶段交付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验收重点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内容与 AI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逐条校审，优先增加双连壶独立观察路径。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不同对象使用自己的事实、热点与依据。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鸿蒙账号与小艺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接入系统身份与小艺可用能力。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按官方接口与实际权限验证，保留对象契约。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多端适配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以一次开发多端部署为目标，扩展平板、折叠与阔屏布局。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同一账号记录在不同屏幕可读、可编辑、可回放。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分布式数据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评估 KV 与 DataObject 的适用场景。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真实传输与同步结果可验证，再形成完成结论。</w:t>
            </w:r>
          </w:p>
        </w:tc>
      </w:tr>
    </w:tbl>
    <w:p>
      <w:pPr>
        <w:spacing w:after="0"/>
      </w:pPr>
    </w:p>
    <w:p>
      <w:r>
        <w:rPr>
          <w:b w:val="0"/>
        </w:rPr>
        <w:t>上述方向按已具备的用户路径推进。近期先稳定当前设备的现场体验，再逐件扩展观察对象和鸿蒙系统能力；每一项新增能力都需要对应的实际操作与结果记录。</w:t>
      </w:r>
    </w:p>
    <w:p>
      <w:bookmarkStart w:id="18" w:name="page_water"/>
      <w:pPr>
        <w:pStyle w:val="Heading1"/>
        <w:pageBreakBefore/>
      </w:pPr>
      <w:r>
        <w:t>16 下一阶段黄河水情观察</w:t>
      </w:r>
      <w:bookmarkEnd w:id="18"/>
    </w:p>
    <w:p>
      <w:r>
        <w:rPr>
          <w:b w:val="0"/>
        </w:rPr>
        <w:t>黄河文化探索也可以连接到今天的河流。下一阶段计划在首页增加“黄河今日”细卡，进入独立原生水情页面，在文化浏览之外，为用户提供有来源、有时间的黄河公开水情观察。该功能目前处于设计阶段。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22000" cy="1612100"/>
            <wp:docPr id="14" name="Picture 14" descr="图 13  黄河水情观察拟采用的数据路径  下一阶段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-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161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  黄河水情观察拟采用的数据路径  下一阶段设计</w:t>
      </w:r>
    </w:p>
    <w:p>
      <w:pPr>
        <w:pStyle w:val="Heading2"/>
      </w:pPr>
      <w:r>
        <w:t>16.1 页面内容与文化入口</w:t>
      </w:r>
    </w:p>
    <w:p>
      <w:r>
        <w:rPr>
          <w:b w:val="0"/>
        </w:rPr>
        <w:t>拟选择公开日报覆盖的代表站点，展示站名、水位、流量与含沙量，明确单位、观测时间和发布来源。首页细卡只保留最新时间与代表站概况，详情展示站点选择和服务端逐日留存形成的近七日趋势，不新增底部主入口。</w:t>
      </w:r>
    </w:p>
    <w:p>
      <w:pPr>
        <w:pStyle w:val="Heading2"/>
      </w:pPr>
      <w:r>
        <w:t>16.2 更新与离线逻辑</w:t>
      </w:r>
    </w:p>
    <w:p>
      <w:r>
        <w:rPr>
          <w:b w:val="0"/>
        </w:rPr>
        <w:t>采集、字段解析与缓存放在服务端，应用经自有 HTTPS 接口读取，Preferences 保留最后一次有效快照。数据超期或获取失败时显示上次更新时间，原始来源可打开。七日趋势需积累到足够的有效记录后展示，缺测值保留为空。</w:t>
      </w:r>
    </w:p>
    <w:p>
      <w:pPr>
        <w:pStyle w:val="Heading2"/>
      </w:pPr>
      <w:r>
        <w:t>16.3 实施与验收</w:t>
      </w:r>
    </w:p>
    <w:p>
      <w:r>
        <w:rPr>
          <w:b w:val="0"/>
        </w:rPr>
        <w:t>先核对官方信息的可用字段、使用要求与发布频率，再实现缓存接口、原生详情和真实数据验证。产品用于公开水情的阅读和文化关联，不提供洪水预测或防灾指令。此项与鸿蒙账号、小艺、多端适配一同纳入后续交付。</w:t>
      </w:r>
    </w:p>
    <w:p>
      <w:bookmarkStart w:id="19" w:name="page_references"/>
      <w:pPr>
        <w:pStyle w:val="Heading1"/>
        <w:pageBreakBefore/>
      </w:pPr>
      <w:r>
        <w:t>主要参考资料与验证索引</w:t>
      </w:r>
      <w:bookmarkEnd w:id="19"/>
    </w:p>
    <w:p>
      <w:pPr>
        <w:ind w:firstLine="0"/>
      </w:pPr>
      <w:r>
        <w:rPr>
          <w:b w:val="0"/>
        </w:rPr>
        <w:t>文化资料以条目级来源为基础，以下列出本方案直接涉及的主要机构资料、技术资料与验证记录。馆方或主管部门页面是事实入口，个人观察和 AI 解读在应用中另作标记。</w:t>
      </w:r>
    </w:p>
    <w:p>
      <w:pPr>
        <w:spacing w:after="100"/>
        <w:ind w:firstLine="0"/>
      </w:pPr>
      <w:r>
        <w:rPr>
          <w:b w:val="0"/>
        </w:rPr>
        <w:t xml:space="preserve">[1] 河南博物院 杜岭二号方鼎。用于器物身份、尺寸与纹饰位置事实。 </w:t>
      </w:r>
      <w:hyperlink r:id="rId24">
        <w:r>
          <w:rPr>
            <w:rFonts w:ascii="宋体" w:hAnsi="宋体" w:eastAsia="宋体"/>
            <w:sz w:val="24"/>
            <w:color w:val="365A77"/>
          </w:rPr>
          <w:t>馆藏资料</w:t>
        </w:r>
      </w:hyperlink>
    </w:p>
    <w:p>
      <w:pPr>
        <w:spacing w:after="100"/>
        <w:ind w:firstLine="0"/>
      </w:pPr>
      <w:r>
        <w:rPr>
          <w:b w:val="0"/>
        </w:rPr>
        <w:t xml:space="preserve">[2] 国家文物局 河南三门峡庙底沟遗址。用于遗址空间关系观察。 </w:t>
      </w:r>
      <w:hyperlink r:id="rId25">
        <w:r>
          <w:rPr>
            <w:rFonts w:ascii="宋体" w:hAnsi="宋体" w:eastAsia="宋体"/>
            <w:sz w:val="24"/>
            <w:color w:val="365A77"/>
          </w:rPr>
          <w:t>原始资料</w:t>
        </w:r>
      </w:hyperlink>
    </w:p>
    <w:p>
      <w:pPr>
        <w:spacing w:after="100"/>
        <w:ind w:firstLine="0"/>
      </w:pPr>
      <w:r>
        <w:rPr>
          <w:b w:val="0"/>
        </w:rPr>
        <w:t xml:space="preserve">[3] 河南博物院 彩陶双连壶。用于器形与口腹结构对照。 </w:t>
      </w:r>
      <w:hyperlink r:id="rId26">
        <w:r>
          <w:rPr>
            <w:rFonts w:ascii="宋体" w:hAnsi="宋体" w:eastAsia="宋体"/>
            <w:sz w:val="24"/>
            <w:color w:val="365A77"/>
          </w:rPr>
          <w:t>馆藏资料</w:t>
        </w:r>
      </w:hyperlink>
    </w:p>
    <w:p>
      <w:pPr>
        <w:spacing w:after="100"/>
        <w:ind w:firstLine="0"/>
      </w:pPr>
      <w:r>
        <w:rPr>
          <w:b w:val="0"/>
        </w:rPr>
        <w:t xml:space="preserve">[4] 国家文物局 河南渑池仰韶村遗址。用于文化档案。 </w:t>
      </w:r>
      <w:hyperlink r:id="rId27">
        <w:r>
          <w:rPr>
            <w:rFonts w:ascii="宋体" w:hAnsi="宋体" w:eastAsia="宋体"/>
            <w:sz w:val="24"/>
            <w:color w:val="365A77"/>
          </w:rPr>
          <w:t>原始资料</w:t>
        </w:r>
      </w:hyperlink>
    </w:p>
    <w:p>
      <w:pPr>
        <w:spacing w:after="100"/>
        <w:ind w:firstLine="0"/>
      </w:pPr>
      <w:r>
        <w:rPr>
          <w:b w:val="0"/>
        </w:rPr>
        <w:t xml:space="preserve">[5] 河南省人民政府 二里头遗址文明之光。用于二里头档案。 </w:t>
      </w:r>
      <w:hyperlink r:id="rId28">
        <w:r>
          <w:rPr>
            <w:rFonts w:ascii="宋体" w:hAnsi="宋体" w:eastAsia="宋体"/>
            <w:sz w:val="24"/>
            <w:color w:val="365A77"/>
          </w:rPr>
          <w:t>原始资料</w:t>
        </w:r>
      </w:hyperlink>
    </w:p>
    <w:p>
      <w:pPr>
        <w:spacing w:after="100"/>
        <w:ind w:firstLine="0"/>
      </w:pPr>
      <w:r>
        <w:rPr>
          <w:b w:val="0"/>
        </w:rPr>
        <w:t xml:space="preserve">[6] 中国历史研究院 北宋东京城州桥重见天日。用于州桥档案。 </w:t>
      </w:r>
      <w:hyperlink r:id="rId29">
        <w:r>
          <w:rPr>
            <w:rFonts w:ascii="宋体" w:hAnsi="宋体" w:eastAsia="宋体"/>
            <w:sz w:val="24"/>
            <w:color w:val="365A77"/>
          </w:rPr>
          <w:t>原始资料</w:t>
        </w:r>
      </w:hyperlink>
    </w:p>
    <w:p>
      <w:pPr>
        <w:spacing w:after="100"/>
        <w:ind w:firstLine="0"/>
      </w:pPr>
      <w:r>
        <w:rPr>
          <w:b w:val="0"/>
        </w:rPr>
        <w:t xml:space="preserve">[7] 华为开发者联盟 HarmonyOS 官方文档；本机 SDK 26.0.0.105 类型声明。用于原生接口选型与能力核验。 </w:t>
      </w:r>
      <w:hyperlink r:id="rId30">
        <w:r>
          <w:rPr>
            <w:rFonts w:ascii="宋体" w:hAnsi="宋体" w:eastAsia="宋体"/>
            <w:sz w:val="24"/>
            <w:color w:val="365A77"/>
          </w:rPr>
          <w:t>官方文档</w:t>
        </w:r>
      </w:hyperlink>
    </w:p>
    <w:p>
      <w:pPr>
        <w:spacing w:after="100"/>
        <w:ind w:firstLine="0"/>
      </w:pPr>
      <w:r>
        <w:rPr>
          <w:b w:val="0"/>
        </w:rPr>
        <w:t xml:space="preserve">[8] 华为 HTTP 数据请求接口。用于账号、同步与模型代理网络调用。 </w:t>
      </w:r>
      <w:hyperlink r:id="rId31">
        <w:r>
          <w:rPr>
            <w:rFonts w:ascii="宋体" w:hAnsi="宋体" w:eastAsia="宋体"/>
            <w:sz w:val="24"/>
            <w:color w:val="365A77"/>
          </w:rPr>
          <w:t>接口文档</w:t>
        </w:r>
      </w:hyperlink>
    </w:p>
    <w:p>
      <w:pPr>
        <w:spacing w:after="100"/>
        <w:ind w:firstLine="0"/>
      </w:pPr>
      <w:r>
        <w:rPr>
          <w:b w:val="0"/>
        </w:rPr>
        <w:t xml:space="preserve">[9] DeepSeek 官方 API 文档。用于模型调用与结构化函数返回。 </w:t>
      </w:r>
      <w:hyperlink r:id="rId32">
        <w:r>
          <w:rPr>
            <w:rFonts w:ascii="宋体" w:hAnsi="宋体" w:eastAsia="宋体"/>
            <w:sz w:val="24"/>
            <w:color w:val="365A77"/>
          </w:rPr>
          <w:t>官方文档</w:t>
        </w:r>
      </w:hyperlink>
    </w:p>
    <w:p>
      <w:pPr>
        <w:spacing w:after="100"/>
        <w:ind w:firstLine="0"/>
      </w:pPr>
      <w:r>
        <w:rPr>
          <w:b w:val="0"/>
        </w:rPr>
        <w:t xml:space="preserve">[10] 水利部黄河水利委员会。下一阶段拟核对黄河水情日报。 </w:t>
      </w:r>
      <w:hyperlink r:id="rId33">
        <w:r>
          <w:rPr>
            <w:rFonts w:ascii="宋体" w:hAnsi="宋体" w:eastAsia="宋体"/>
            <w:sz w:val="24"/>
            <w:color w:val="365A77"/>
          </w:rPr>
          <w:t>机构网站</w:t>
        </w:r>
      </w:hyperlink>
    </w:p>
    <w:p>
      <w:pPr>
        <w:ind w:firstLine="0"/>
      </w:pPr>
      <w:r>
        <w:rPr>
          <w:b w:val="0"/>
        </w:rPr>
        <w:t>[11] 项目测试报告第 23、25、27、28 节，记录日期 2026 年 10 月 17 至 18 日。报告保留原始失败、最终结果和包边界；本次 10 月 19 日另复跑本地测试与主包构建。</w:t>
      </w:r>
    </w:p>
    <w:p>
      <w:pPr>
        <w:ind w:firstLine="0"/>
      </w:pPr>
      <w:r>
        <w:rPr>
          <w:b w:val="0"/>
        </w:rPr>
        <w:t>[12] 本方案的界面截图来自项目原生运行图集。图 7 为 10 月 17 日双端历史记录，其余配图对应原生观察与页面层级阶段；插图仅作缩放、裁剪和外部标签编排。</w:t>
      </w:r>
    </w:p>
    <w:p>
      <w:bookmarkStart w:id="20" w:name="page_credits_1"/>
      <w:pPr>
        <w:pStyle w:val="Heading1"/>
        <w:pageBreakBefore/>
      </w:pPr>
      <w:r>
        <w:t>图片授权与署名一</w:t>
      </w:r>
      <w:bookmarkEnd w:id="20"/>
    </w:p>
    <w:p>
      <w:pPr>
        <w:ind w:firstLine="0"/>
      </w:pPr>
      <w:r>
        <w:rPr>
          <w:b w:val="0"/>
        </w:rPr>
        <w:t>应用内实景图片采用 Wikimedia Commons 的公开许可，作品保留作者、许可与原文件页。下列名称为档案索引，照片内容以原文件说明及应用图注为准。图片经过等比缩放和 JPEG 压缩，相关适配版本沿用原许可。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39"/>
        <w:gridCol w:w="3402"/>
        <w:gridCol w:w="1814"/>
      </w:tblGrid>
      <w:tr>
        <w:trPr>
          <w:cantSplit/>
          <w:tblHeader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档案与图像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作者与许可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原始文件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仰韶村遗址</w:t>
              <w:br/>
              <w:t>仰韶村遗址文化层断面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Gary Todd</w:t>
              <w:br/>
              <w:t>CC0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34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二里头遗址</w:t>
              <w:br/>
              <w:t>二里头遗址宫城区域航拍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Windmemories</w:t>
              <w:br/>
              <w:t>CC BY-SA 4.0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35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郑州商城遗址</w:t>
              <w:br/>
              <w:t>郑州商城夯土城垣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Gary Todd</w:t>
              <w:br/>
              <w:t>CC0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36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开封铁塔</w:t>
              <w:br/>
              <w:t>开封铁塔（祐国寺塔）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Windmemories</w:t>
              <w:br/>
              <w:t>CC BY-SA 4.0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37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虢国墓地</w:t>
              <w:br/>
              <w:t>虢国墓地 M2001 出土青铜鼎、簋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Windmemories</w:t>
              <w:br/>
              <w:t>CC BY-SA 4.0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38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偃师商城遗址</w:t>
              <w:br/>
              <w:t>偃师商城遗址城墙与保护标志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Windmemories</w:t>
              <w:br/>
              <w:t>CC BY-SA 4.0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39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汉魏洛阳城遗址</w:t>
              <w:br/>
              <w:t>汉魏洛阳故城宫城遗址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Windmemories</w:t>
              <w:br/>
              <w:t>CC BY-SA 4.0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40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龙门石窟</w:t>
              <w:br/>
              <w:t>龙门石窟窟龛与造像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Roci xu</w:t>
              <w:br/>
              <w:t>CC BY-SA 4.0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41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</w:tbl>
    <w:p>
      <w:pPr>
        <w:spacing w:after="0"/>
      </w:pPr>
    </w:p>
    <w:p>
      <w:pPr>
        <w:ind w:firstLine="0"/>
      </w:pPr>
      <w:r>
        <w:rPr>
          <w:b w:val="0"/>
        </w:rPr>
        <w:t>CC0 与 Public domain 对应原文件页的权利标记；CC BY-SA 图片保留署名与相同方式共享要求。本文原生界面配图和程序化场景由项目生成，实际照片与程序化示意在应用中分别说明。</w:t>
      </w:r>
    </w:p>
    <w:p>
      <w:bookmarkStart w:id="21" w:name="page_credits_2"/>
      <w:pPr>
        <w:pStyle w:val="Heading1"/>
        <w:pageBreakBefore/>
      </w:pPr>
      <w:r>
        <w:t>图片授权与署名二</w:t>
      </w:r>
      <w:bookmarkEnd w:id="21"/>
    </w:p>
    <w:p>
      <w:pPr>
        <w:ind w:firstLine="0"/>
      </w:pPr>
      <w:r>
        <w:rPr>
          <w:b w:val="0"/>
        </w:rPr>
        <w:t>应用内实景图片采用 Wikimedia Commons 的公开许可，作品保留作者、许可与原文件页。下列名称为档案索引，照片内容以原文件说明及应用图注为准。图片经过等比缩放和 JPEG 压缩，相关适配版本沿用原许可。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39"/>
        <w:gridCol w:w="3402"/>
        <w:gridCol w:w="1814"/>
      </w:tblGrid>
      <w:tr>
        <w:trPr>
          <w:cantSplit/>
          <w:tblHeader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档案与图像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作者与许可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8EFF8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原始文件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郑韩故城</w:t>
              <w:br/>
              <w:t>郑韩故城城垣与历史人物雕塑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Gary Todd</w:t>
              <w:br/>
              <w:t>Public domain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42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繁塔</w:t>
              <w:br/>
              <w:t>繁塔现状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Windmemories</w:t>
              <w:br/>
              <w:t>CC BY-SA 4.0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43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西水坡遗址</w:t>
              <w:br/>
              <w:t>西水坡遗址出土蚌塑龙虎（国家博物馆陈列）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Prof. Gary Lee Todd</w:t>
              <w:br/>
              <w:t>CC BY-SA 4.0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44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开封城墙</w:t>
              <w:br/>
              <w:t>开封城墙西段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Windmemories</w:t>
              <w:br/>
              <w:t>CC BY-SA 4.0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45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仓颉陵</w:t>
              <w:br/>
              <w:t>仓颉陵庙门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WaitinZ</w:t>
              <w:br/>
              <w:t>CC BY-SA 3.0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46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庙底沟遗址</w:t>
              <w:br/>
              <w:t>庙底沟类型彩陶盆（国家博物馆藏）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Prof. Gary Lee Todd</w:t>
              <w:br/>
              <w:t>CC BY-SA 4.0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47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大河村遗址</w:t>
              <w:br/>
              <w:t>大河村遗址仰韶文化房基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Windmemories</w:t>
              <w:br/>
              <w:t>CC BY-SA 4.0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FFFFF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48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杜岭二号方鼎</w:t>
              <w:br/>
              <w:t>杜岭方鼎（河南博物院藏）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Windmemories</w:t>
              <w:br/>
              <w:t>CC BY-SA 4.0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F8F9FA"/>
          </w:tcPr>
          <w:p>
            <w:pPr>
              <w:spacing w:after="0" w:before="0" w:line="360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</w:r>
            <w:hyperlink r:id="rId49">
              <w:r>
                <w:rPr>
                  <w:rFonts w:ascii="宋体" w:hAnsi="宋体" w:eastAsia="宋体"/>
                  <w:sz w:val="24"/>
                  <w:color w:val="365A77"/>
                </w:rPr>
                <w:t>查看原图</w:t>
              </w:r>
            </w:hyperlink>
          </w:p>
        </w:tc>
      </w:tr>
    </w:tbl>
    <w:p>
      <w:pPr>
        <w:spacing w:after="0"/>
      </w:pPr>
    </w:p>
    <w:p>
      <w:pPr>
        <w:ind w:firstLine="0"/>
      </w:pPr>
      <w:r>
        <w:rPr>
          <w:b w:val="0"/>
        </w:rPr>
        <w:t>戚城、州桥、西坡与单拐四条档案当前保留原创主题插画。20 条文化档案均附条目来源，正文统一保留初稿待校审状态；后续优先完善人工校审与缺失图片的授权材料。</w:t>
      </w:r>
    </w:p>
    <w:sectPr w:rsidR="00FC693F" w:rsidRPr="0006063C" w:rsidSect="00034616">
      <w:footerReference w:type="default" r:id="rId9"/>
      <w:pgSz w:w="11906" w:h="16838"/>
      <w:pgMar w:top="1191" w:right="1276" w:bottom="1134" w:left="1276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宋体" w:hAnsi="宋体"/>
        <w:sz w:val="21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00"/>
      <w:ind w:firstLine="480"/>
    </w:pPr>
    <w:rPr>
      <w:rFonts w:ascii="宋体" w:hAnsi="宋体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360" w:lineRule="auto"/>
      <w:ind w:firstLine="0"/>
      <w:outlineLvl w:val="0"/>
    </w:pPr>
    <w:rPr>
      <w:rFonts w:ascii="黑体" w:hAnsi="黑体" w:eastAsia="黑体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360" w:lineRule="auto"/>
      <w:ind w:firstLine="0"/>
      <w:outlineLvl w:val="1"/>
    </w:pPr>
    <w:rPr>
      <w:rFonts w:ascii="黑体" w:hAnsi="黑体" w:eastAsia="黑体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360" w:lineRule="auto"/>
      <w:ind w:firstLine="0"/>
      <w:outlineLvl w:val="2"/>
    </w:pPr>
    <w:rPr>
      <w:rFonts w:ascii="黑体" w:hAnsi="黑体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spacing w:line="360" w:lineRule="auto" w:before="0" w:after="100"/>
    </w:pPr>
    <w:rPr>
      <w:rFonts w:ascii="宋体" w:hAnsi="宋体" w:eastAsia="宋体"/>
      <w:b w:val="0"/>
      <w:i w:val="0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360" w:lineRule="auto" w:before="0"/>
      <w:ind w:firstLine="0"/>
      <w:contextualSpacing/>
    </w:pPr>
    <w:rPr>
      <w:rFonts w:ascii="宋体" w:hAnsi="宋体" w:eastAsia="宋体"/>
      <w:b/>
      <w:i w:val="0"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360" w:lineRule="auto" w:before="0" w:after="160"/>
      <w:ind w:firstLine="0"/>
    </w:pPr>
    <w:rPr>
      <w:rFonts w:ascii="宋体" w:hAnsi="宋体" w:eastAsia="宋体"/>
      <w:b w:val="0"/>
      <w:i w:val="0"/>
      <w:iCs/>
      <w:color w:val="000000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60" w:lineRule="auto" w:before="0"/>
    </w:pPr>
    <w:rPr>
      <w:rFonts w:ascii="宋体" w:hAnsi="宋体" w:eastAsia="宋体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140"/>
      <w:ind w:firstLine="0"/>
    </w:pPr>
    <w:rPr>
      <w:rFonts w:ascii="宋体" w:hAnsi="宋体" w:eastAsia="宋体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hyperlink" Target="https://www.chnmus.net/ch/collection/appraise/details.html?id=512159052412506512" TargetMode="External"/><Relationship Id="rId25" Type="http://schemas.openxmlformats.org/officeDocument/2006/relationships/hyperlink" Target="http://www.ncha.gov.cn/art/2022/3/19/art_2587_75.html" TargetMode="External"/><Relationship Id="rId26" Type="http://schemas.openxmlformats.org/officeDocument/2006/relationships/hyperlink" Target="https://www.chnmus.net/sitesources/hnsbwy/page_pc/bwzl/yyhxzzjd/cpsx/article02dad096e98349b19ed9feaa402f6667.html" TargetMode="External"/><Relationship Id="rId27" Type="http://schemas.openxmlformats.org/officeDocument/2006/relationships/hyperlink" Target="http://www.ncha.gov.cn/art/2022/3/19/art_2587_74.html" TargetMode="External"/><Relationship Id="rId28" Type="http://schemas.openxmlformats.org/officeDocument/2006/relationships/hyperlink" Target="https://www.henan.gov.cn/2025/04-09/3145831.html" TargetMode="External"/><Relationship Id="rId29" Type="http://schemas.openxmlformats.org/officeDocument/2006/relationships/hyperlink" Target="http://hrczh.cass.cn/ywdt/dt/202502/t20250228_5849988.shtml" TargetMode="External"/><Relationship Id="rId30" Type="http://schemas.openxmlformats.org/officeDocument/2006/relationships/hyperlink" Target="https://developer.huawei.com/consumer/cn/doc/" TargetMode="External"/><Relationship Id="rId31" Type="http://schemas.openxmlformats.org/officeDocument/2006/relationships/hyperlink" Target="https://developer.huawei.com/consumer/cn/doc/harmonyos-references/js-apis-http" TargetMode="External"/><Relationship Id="rId32" Type="http://schemas.openxmlformats.org/officeDocument/2006/relationships/hyperlink" Target="https://api-docs.deepseek.com/zh-cn/" TargetMode="External"/><Relationship Id="rId33" Type="http://schemas.openxmlformats.org/officeDocument/2006/relationships/hyperlink" Target="http://www.yrcc.gov.cn/" TargetMode="External"/><Relationship Id="rId34" Type="http://schemas.openxmlformats.org/officeDocument/2006/relationships/hyperlink" Target="https://commons.wikimedia.org/wiki/File:Yangshao_Culture_Original_Excavation_Site-_Yangshao_%26_Longshan_Strata.jpg" TargetMode="External"/><Relationship Id="rId35" Type="http://schemas.openxmlformats.org/officeDocument/2006/relationships/hyperlink" Target="https://commons.wikimedia.org/wiki/File:20240815_Erlitou_Site_05.jpg" TargetMode="External"/><Relationship Id="rId36" Type="http://schemas.openxmlformats.org/officeDocument/2006/relationships/hyperlink" Target="https://commons.wikimedia.org/wiki/File:Shang_Dynasty_City_Wall,_Zhengzhou_01.jpg" TargetMode="External"/><Relationship Id="rId37" Type="http://schemas.openxmlformats.org/officeDocument/2006/relationships/hyperlink" Target="https://commons.wikimedia.org/wiki/File:20250622_Iron_Pagoda_Park_01.jpg" TargetMode="External"/><Relationship Id="rId38" Type="http://schemas.openxmlformats.org/officeDocument/2006/relationships/hyperlink" Target="https://commons.wikimedia.org/wiki/File:20260520_Bronze_Ding_Set_and_Gui_Set_with_Inscriptions_of_Guo_Ji.jpg" TargetMode="External"/><Relationship Id="rId39" Type="http://schemas.openxmlformats.org/officeDocument/2006/relationships/hyperlink" Target="https://commons.wikimedia.org/wiki/File:20240815_Yanshi_Shang_City_Site_02.jpg" TargetMode="External"/><Relationship Id="rId40" Type="http://schemas.openxmlformats.org/officeDocument/2006/relationships/hyperlink" Target="https://commons.wikimedia.org/wiki/File:20240815_Site_of_Luoyang_City_from_Han_to_Wei_Dynasty_-_Site_of_the_Palace_City_01.jpg" TargetMode="External"/><Relationship Id="rId41" Type="http://schemas.openxmlformats.org/officeDocument/2006/relationships/hyperlink" Target="https://commons.wikimedia.org/wiki/File:Longmen_Grottoes_of_Luoyang.jpg" TargetMode="External"/><Relationship Id="rId42" Type="http://schemas.openxmlformats.org/officeDocument/2006/relationships/hyperlink" Target="https://commons.wikimedia.org/wiki/File:Xinzheng_Ancient_City_Wall_with_Ancient_Rulers_Sealing_a_Treaty.jpg" TargetMode="External"/><Relationship Id="rId43" Type="http://schemas.openxmlformats.org/officeDocument/2006/relationships/hyperlink" Target="https://commons.wikimedia.org/wiki/File:20250622_Po_Pagoda_01.jpg" TargetMode="External"/><Relationship Id="rId44" Type="http://schemas.openxmlformats.org/officeDocument/2006/relationships/hyperlink" Target="https://commons.wikimedia.org/wiki/File:Human_Burial_and_shell_mosaics.National_Museum,_Beijing_.JPG" TargetMode="External"/><Relationship Id="rId45" Type="http://schemas.openxmlformats.org/officeDocument/2006/relationships/hyperlink" Target="https://commons.wikimedia.org/wiki/File:20140419_Kaifeng_City_Wall.jpg" TargetMode="External"/><Relationship Id="rId46" Type="http://schemas.openxmlformats.org/officeDocument/2006/relationships/hyperlink" Target="https://commons.wikimedia.org/wiki/File:%E4%BB%93%E9%A2%89%E5%A2%93%E9%97%A8%E5%8F%A3_-_Doorway_of_Cangjie_Tomb.jpg" TargetMode="External"/><Relationship Id="rId47" Type="http://schemas.openxmlformats.org/officeDocument/2006/relationships/hyperlink" Target="https://commons.wikimedia.org/wiki/File:Neolithic_painted_pottery_basin,_Yangshao_Culture,_Miaodigou_type,_Henan,_1956.jpg" TargetMode="External"/><Relationship Id="rId48" Type="http://schemas.openxmlformats.org/officeDocument/2006/relationships/hyperlink" Target="https://commons.wikimedia.org/wiki/File:20241110_House_Foundations_of_Dahecun_Site_01.jpg" TargetMode="External"/><Relationship Id="rId49" Type="http://schemas.openxmlformats.org/officeDocument/2006/relationships/hyperlink" Target="https://commons.wikimedia.org/wiki/File:20260520_Nipple-Nailed_Square_Ding_with_Beast_Face_Patterns_0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云河纪设计方案</dc:title>
  <dc:subject>黄河文化探索与个人记忆</dc:subject>
  <dc:creator/>
  <cp:keywords/>
  <dc:description/>
  <cp:lastModifiedBy/>
  <cp:revision>1</cp:revision>
  <dcterms:created xsi:type="dcterms:W3CDTF">2026-10-19T00:00:00Z</dcterms:created>
  <dcterms:modified xsi:type="dcterms:W3CDTF">2026-10-19T00:00:00Z</dcterms:modified>
  <cp:category/>
</cp:coreProperties>
</file>