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after="240" w:line="760" w:lineRule="exact"/>
      </w:pPr>
      <w:r>
        <w:rPr>
          <w:rFonts w:ascii="Microsoft YaHei" w:hAnsi="Microsoft YaHei" w:eastAsia="Microsoft YaHei" w:cs="Microsoft YaHei"/>
          <w:b/>
          <w:color w:val="000000"/>
          <w:sz w:val="56"/>
          <w:u w:val="none"/>
        </w:rPr>
        <w:t>云河纪五城文化漫游说明</w:t>
      </w:r>
    </w:p>
    <w:p>
      <w:pPr>
        <w:spacing w:after="220" w:line="464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32"/>
          <w:u w:val="none"/>
        </w:rPr>
        <w:t>个人文化探索与记忆应用</w:t>
      </w:r>
    </w:p>
    <w:p>
      <w:pPr>
        <w:spacing w:after="30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省赛评审与现场演示  2026-10-23  M12 原生演示版本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云河纪让用户在家也能沿黄河走进河南五座城市。用户通过寻找、拨动、选择和点灯，理解有出处的文化故事，再决定把什么内容和自己的感受留成一页记忆。</w:t>
      </w:r>
    </w:p>
    <w:p>
      <w:pPr>
        <w:spacing w:after="26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本说明介绍五城的完整体验、原生交互和同账号延续，并列出这次实际版本的验证范围。评委可以直接选择任一城市开始，不需要先登录或请求在线 AI。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0591" cy="4572000"/>
            <wp:docPr id="1" name="Picture 1" descr="手机原生首页：沿河选城与当前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ative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591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手机原生首页：沿河选城与当前目标（M12）</w:t>
      </w:r>
    </w:p>
    <w:p>
      <w:pPr>
        <w:spacing w:after="12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演示主线  沿河选城  完成小目标  展开城市故事  选择文化片段  确认个人记忆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为什么打开云河纪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文化浏览常停在读过一段介绍。云河纪把阅读组织成可以亲手参与的小目标，让桥与水道怎样相接、院落怎样展开、一句诗怎样联系地方成为看得见的变化。用户可以先玩一城，也可以随时转入文化库自由阅读。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94860" cy="3063240"/>
            <wp:docPr id="2" name="Picture 2" descr="平板原生首页：完整五城长卷与当前阅读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t-roaming-home-m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平板原生首页：完整五城长卷与当前阅读目标（M12）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608"/>
        <w:gridCol w:w="3672"/>
      </w:tblGrid>
      <w:tr>
        <w:trPr>
          <w:tblHeader/>
        </w:trPr>
        <w:tc>
          <w:tcPr>
            <w:tcW w:type="dxa" w:w="1152"/>
            <w:shd w:fill="DCE6F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u w:val="none"/>
              </w:rPr>
              <w:t>城市</w:t>
            </w:r>
          </w:p>
        </w:tc>
        <w:tc>
          <w:tcPr>
            <w:tcW w:type="dxa" w:w="4608"/>
            <w:shd w:fill="DCE6F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u w:val="none"/>
              </w:rPr>
              <w:t>先做什么</w:t>
            </w:r>
          </w:p>
        </w:tc>
        <w:tc>
          <w:tcPr>
            <w:tcW w:type="dxa" w:w="3672"/>
            <w:shd w:fill="DCE6F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  <w:u w:val="none"/>
              </w:rPr>
              <w:t>最后留下什么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三门峡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找制作居住线索 揭开地坑院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选一枚原创窗花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洛阳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移动伊河景窗 读赏花短句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组合春日尾页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郑州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选水门或陆门 沿字词读诗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选择相会片段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开封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沿水找桥 拨动城市层次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主动点亮原创灯景</w:t>
            </w:r>
          </w:p>
        </w:tc>
      </w:tr>
      <w:tr>
        <w:trPr/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濮阳</w:t>
            </w:r>
          </w:p>
        </w:tc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看蚌塑形态 读传说纪念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80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  <w:u w:val="none"/>
              </w:rPr>
              <w:t>形成龙乡回声</w:t>
            </w:r>
          </w:p>
        </w:tc>
      </w:tr>
    </w:tbl>
    <w:p>
      <w:pPr>
        <w:spacing w:after="100" w:line="87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6"/>
          <w:u w:val="none"/>
        </w:rPr>
      </w:r>
    </w:p>
    <w:p>
      <w:pPr>
        <w:pStyle w:val="Heading2"/>
        <w:spacing w:after="100" w:line="391" w:lineRule="exact" w:before="140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27"/>
          <w:u w:val="none"/>
        </w:rPr>
        <w:t>漫游 文化库与记忆各有入口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漫游给出当下目标，文化库保留完整档案与诗文资料，记忆呈现用户真实留下的摘录与亲笔记录。“我的”集中账号、同步、存储、偏好和资料说明，内容不被账号流程打断。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城市之间可以自由选择，城内三条线索依次展开。探索进度、个人感想和真实到访分别表达；完成一城会展开纪念画面，不自动替用户写手账。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三门峡 黄土里的家</w:t>
      </w:r>
    </w:p>
    <w:p>
      <w:pPr>
        <w:spacing w:after="18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制作居住 院落 窗花</w:t>
      </w:r>
    </w:p>
    <w:p>
      <w:pPr>
        <w:spacing w:after="20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黄河文化也可以从普通人的生活读起。这一城先找制作与居住的位置，再揭开一座下沉院落，最后给自己的纸页选一枚窗花。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3667" cy="3611880"/>
            <wp:docPr id="3" name="Picture 3" descr="揭开地表后观察院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smx-home-clue-2-obser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1643667" cy="3611880"/>
            <wp:docPr id="4" name="Picture 4" descr="第三段选择与实际完成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smx-home-completed-no-no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揭开地表后观察院落（M11）；第三段选择与实际完成反馈（M11）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1  把陶器放回生活里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点开原创聚落中的作与居两处，分别看陶窑和房屋的关系。发现后选择想保留的制作或居住线索，画面强调随选择改变。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2  院子藏在地表之下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拖动地表遮罩，向下展开的院落与四周窑洞逐渐露出。选择院落或洞口，帮助把传统地坑院的空间关系记下来。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3  为纸页添一扇窗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试选暖阳、河水、新叶三枚原创窗花，镂空图案直接换入窗格。确认后形成这一城的纪念画面，用户仍可决定是否写记忆。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庙底沟聚落、传统民居与当代剪纸分别标明年代。三条线索呈现不同历史层次的日常文化；原创生活图景帮助理解官方资料中的制作与居住关系。</w:t>
      </w:r>
    </w:p>
    <w:p>
      <w:pPr>
        <w:spacing w:after="80" w:line="27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9"/>
          <w:u w:val="none"/>
        </w:rPr>
        <w:t>延伸阅读  庙底沟遗址 仰韶村遗址 灵宝西坡遗址    资料 S01 S02 S03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洛阳 这一城春色 为谁而开</w:t>
      </w:r>
    </w:p>
    <w:p>
      <w:pPr>
        <w:spacing w:after="18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伊河景窗 赏花记述 一席汤羹</w:t>
      </w:r>
    </w:p>
    <w:p>
      <w:pPr>
        <w:spacing w:after="20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一座城的春色，除了花，还会留下山水与相聚。景窗先把伊河与山体放在一起，文字再把视线引向赏花的人，最后落到围坐的一桌饭。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3667" cy="3611880"/>
            <wp:docPr id="5" name="Picture 5" descr="展开花影与赏花记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ly-spring-clue-2-obser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1643667" cy="3611880"/>
            <wp:docPr id="6" name="Picture 6" descr="第三段选择与实际完成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ly-spring-completed-no-n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展开花影与赏花记述（M11）；第三段选择与实际完成反馈（M11）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1  让伊河进入景窗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拖动原生观察窗，比较山、河与石窟的观看关系。选择从河面望向两岸或从山体找石窟后，景窗高度和移动范围发生变化。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2  摘下一句赏花记述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拨动滑条逐步读出欧阳修“洛阳之俗，大抵好花。”的短引，再选“好花”或赏花的人。篇名《洛阳牡丹记》与出处在读城小笺中保留，也可连续选摘。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3  让春日落在一席之间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选择暖汤、相聚或花影，汤碗、蒸汽、围坐人物与花影组成不同尾页。饮食技艺成为理解城市日常的一条线索。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石窟、北宋赏花记述与今日传承的水席来自不同历史层次。原创尾页把它们并置阅读，不提供未经核实的菜单、价格或活动安排。</w:t>
      </w:r>
    </w:p>
    <w:p>
      <w:pPr>
        <w:spacing w:after="80" w:line="27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9"/>
          <w:u w:val="none"/>
        </w:rPr>
        <w:t>延伸阅读  龙门石窟 汉魏洛阳城遗址 二里头遗址    资料 S04 S05 S06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郑州 溱洧河边 去赴一次相会</w:t>
      </w:r>
    </w:p>
    <w:p>
      <w:pPr>
        <w:spacing w:after="18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水门陆门 诗句 城市生活</w:t>
      </w:r>
    </w:p>
    <w:p>
      <w:pPr>
        <w:spacing w:after="20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古城除了城垣和礼器，也承载诗歌与人的交往。用户从一道门进入，再沿溱洧的字词理解地方，留下属于这次阅读的相会片段。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3667" cy="3611880"/>
            <wp:docPr id="7" name="Picture 7" descr="选择陆门并沿路到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zz-meeting-clue-1-observ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1643667" cy="3611880"/>
            <wp:docPr id="8" name="Picture 8" descr="第三段选择与实际完成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zz-meeting-completed-no-no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选择陆门并沿路到达（M11）；第三段选择与实际完成反馈（M11）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1  从哪一道门进城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先选水门或陆门，再拖动画面走向入口。水路移动船，陆路移动行人，道路或水道与城门的连接因此可见。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2  在字词之间找到水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拨动文字读出“溱与洧，方涣涣兮。”的首句。选择两条水名或流动的字句，图景分别强调水名和水纹，出处注明《诗经·郑风·溱洧》。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3  给相会留一段回声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试选河边相会、城门停留或带走一句诗，席面、城门人物和文字纸页切换。礼乐器物资料通过延伸入口继续阅读。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诗句注明《诗经·郑风·溱洧》，城门与相会图景为原创叙事示意。诗歌文字、城市遗存与礼乐器物资料各有出处，用户可从本篇继续读懂地方记忆。</w:t>
      </w:r>
    </w:p>
    <w:p>
      <w:pPr>
        <w:spacing w:after="80" w:line="27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9"/>
          <w:u w:val="none"/>
        </w:rPr>
        <w:t>延伸阅读  郑韩故城 郑州商城 大河村遗址 杜岭二号方鼎    资料 S07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开封 点亮汴京的一夜</w:t>
      </w:r>
    </w:p>
    <w:p>
      <w:pPr>
        <w:spacing w:after="18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街河交会 城市地层 主动点灯</w:t>
      </w:r>
    </w:p>
    <w:p>
      <w:pPr>
        <w:spacing w:after="20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在灯亮之前，先找一找这座城的水线。沿河到州桥，看看街路怎样相接，再拨动时间，最后亲手点亮一盏原创灯。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3667" cy="3611880"/>
            <wp:docPr id="9" name="Picture 9" descr="循水找到州桥后选择街河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kaifeng-intera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1643667" cy="3611880"/>
            <wp:docPr id="10" name="Picture 10" descr="主动点灯后的原创夜景与确认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antern-l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循水找到州桥后选择街河关系（M12）；主动点灯后的原创夜景与确认入口（M12）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1  找到街与河的交会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拖动船沿水线行至桥下。到达交会位置时，画面出现明确提示；选择街河关系或沿水继续，会强调不同的阅读线索。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2  拨开时间的一层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拨动时间条，比较桥与街、后世叠压和当代遗存观察。地层遮罩与观察窗同步变化，帮助理解同一位置保存多期城市记忆。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3  为这一夜点一盏灯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选择河路安澜、灯火可亲或此页常新，再主动点击点灯。水纹灯、圆灯和折纸灯形态不同，亮灯后才可确认收好故事。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州桥资料用于理解街河与多期遗存关系。北宋文献中的灯事与清末以来灯笼张技艺分别标年代；灯形、祝愿与夜景由云河纪原创。</w:t>
      </w:r>
    </w:p>
    <w:p>
      <w:pPr>
        <w:spacing w:after="80" w:line="27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9"/>
          <w:u w:val="none"/>
        </w:rPr>
        <w:t>延伸阅读  州桥及附近汴河遗址 开封城墙 铁塔 繁塔    资料 S08 S09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濮阳 龙乡的故事 怎样留到今天</w:t>
      </w:r>
    </w:p>
    <w:p>
      <w:pPr>
        <w:spacing w:after="18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蚌塑图像 造字传说 当代讲述</w:t>
      </w:r>
    </w:p>
    <w:p>
      <w:pPr>
        <w:spacing w:after="20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一个故事可以怎样留下来。先看蚌壳摆出的形态，再读人们如何借纪念空间讲述传说，最后把目光放到今天仍在延续的地方记忆。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3667" cy="3611880"/>
            <wp:docPr id="11" name="Picture 11" descr="移动蚌塑轮廓观察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py-memory-clue-1-observ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1643667" cy="3611880"/>
            <wp:docPr id="12" name="Picture 12" descr="第三段选择与实际完成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ming-py-memory-completed-no-no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3667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移动蚌塑轮廓观察窗（M11）；第三段选择与实际完成反馈（M11）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1  在蚌壳之间找到形象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拖动观察窗，先看原创轮廓中的整体线条，再选龙或虎的观看重点。读城小笺提供已授权的真实陈列照片用于对照。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2  走进传说的纪念空间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拖开纸页，比较文字想象与地方纪念。选择后阅读重点切换，仓颉造字以传说和文化记忆的身份出现。</w:t>
      </w:r>
    </w:p>
    <w:p>
      <w:pPr>
        <w:spacing w:after="140" w:line="320" w:lineRule="exact"/>
      </w:pPr>
      <w:r>
        <w:rPr>
          <w:rFonts w:ascii="Microsoft YaHei" w:hAnsi="Microsoft YaHei" w:eastAsia="Microsoft YaHei" w:cs="Microsoft YaHei"/>
          <w:b/>
          <w:color w:val="000000"/>
          <w:sz w:val="22"/>
          <w:u w:val="none"/>
        </w:rPr>
        <w:t xml:space="preserve">3  让今日的讲述留下回声  </w:t>
      </w: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选择蚌纹、字影或相聚，分别展开蚌纹纸页、文字纸页和参与其中的人。三种画面形成不同的龙乡回声。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考古遗存、造字传说和当代民俗各自有材料身份。原创蚌塑轮廓不补绘遗物细节，完成这段阅读也不表示用户已经到访庙会。</w:t>
      </w:r>
    </w:p>
    <w:p>
      <w:pPr>
        <w:spacing w:after="80" w:line="27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9"/>
          <w:u w:val="none"/>
        </w:rPr>
        <w:t>延伸阅读  西水坡遗址 仓颉陵与造字传说记忆 戚城遗址    资料 S10 S11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亲手参与的鸿蒙原生动作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五城使用原生 ArkUI 场景和控件。手势与滑条直接改变景窗、遮罩、船的位置和文字显现，选择再改变收束画面。用户可以从变化中理解关系，资料小笺负责提供进一步的文化解释。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17820" cy="3611880"/>
            <wp:docPr id="13" name="Picture 13" descr="原生平板：场景、资料和草稿各自滚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rpt-landscape-restored-draf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原生平板：场景、资料和草稿各自滚动（M11）</w:t>
      </w:r>
    </w:p>
    <w:p>
      <w:pPr>
        <w:pStyle w:val="Heading2"/>
        <w:spacing w:after="100" w:line="391" w:lineRule="exact" w:before="140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27"/>
          <w:u w:val="none"/>
        </w:rPr>
        <w:t>跨段选摘后生成一张独立卡片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API 26 SelectionContainer 将多个原生文字段落组成连续选区。用户选中喜欢的内容后，生成保留篇章、线索与出处的摘录笺。平板可长按这张卡片，通过 UDMF 系统拖拽放进自己的记忆草稿。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足够宽的真实内容区把场景、资料和草稿分为三列，各自滚动。生成卡片后只需滚动资料列，右侧投放区仍在原位。窄内容区使用场景与半模态阅读写笺，点击“加入草稿”也是正常路径。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实际平板 M11/T11 已完成跨两个 Text 的系统全选、生成摘录笺、UDMF拖入右侧草稿，以及横屏到竖屏再回横屏后确认保存；最终磁盘摘录与原生选区完全一致（P1/F0/E0，113514 ms）。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城市题签与章节标题配置共享元素转场，减少动态偏好会关闭这段动画。接口配置与设备上的实际表现分别核验，结果见本说明的实测范围。</w:t>
      </w:r>
    </w:p>
    <w:p>
      <w:pPr>
        <w:pStyle w:val="Heading2"/>
        <w:spacing w:after="100" w:line="391" w:lineRule="exact" w:before="140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27"/>
          <w:u w:val="none"/>
        </w:rPr>
        <w:t>继续入口与普通桌面卡片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M6 已经由系统添加菜单安装两张2×4普通桌面卡片，并实际点击验证有内容卡片的冷/热启动。空记忆卡入口问题经M8修正并复验冷/热启动。当前未验证退出账号后卡片清理，也未把普通桌面卡片称为鸿蒙原生跨端延续。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把文化片段变成自己的记忆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完成线索记录的是探索进度。用户想留下感受时，才打开空白的亲笔正文，查看将随页保存的资料依据，编辑标签并确认保存。摘录与自己的文字各自保留，资料导读不会被写成用户感想。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399"/>
            <wp:docPr id="14" name="Picture 14" descr="原生平板：亲笔记忆与当时冻结的摘录、出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ory-kaifeng-selected-sour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原生平板：亲笔记忆与当时冻结的摘录、出处（M12）</w:t>
      </w:r>
    </w:p>
    <w:p>
      <w:pPr>
        <w:pStyle w:val="Heading2"/>
        <w:spacing w:after="100" w:line="391" w:lineRule="exact" w:before="140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27"/>
          <w:u w:val="none"/>
        </w:rPr>
        <w:t>以后读回这一页仍能知道当时看了什么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漫游记忆冻结选择的篇章、线索、内容修订、摘录和来源。以后资料更新不会追改已保存的依据。重访图景展示那次选中的文化片段，不宣称还原操作途中某一帧，也不改变旧器物手账的原取景语义。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记忆可阅读、编辑和删除，删除沿用墓碑保留规则。旧普通笔记、旧观察视角、AI 冻结依据与收藏分类继续可访问。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M12 手机通过原生 ShareKit 打开纪行分享面板并取消，独立 Preferences 前后均为6705字节，SHA256一致。M6 已实际取回并核对分享 PNG。尚未核验第三方接收方，不把面板打开写成已经送达。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同一账号在手机和平板继续</w:t>
      </w:r>
    </w:p>
    <w:p>
      <w:pPr>
        <w:spacing w:after="140" w:line="319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2"/>
          <w:u w:val="none"/>
        </w:rPr>
        <w:t>手机A先保存开封首条记忆与探索进度，平板B用同一账号实际接收，在第二、三条线索继续阅读并修改原记忆；原手机A再次登录后收到B的新正文与完整三条进度。A→B→A闭环已按三个独立设备用例和真实记录比较核验。</w:t>
      </w:r>
    </w:p>
    <w:p>
      <w:pPr>
        <w:keepNext/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45150" cy="2955904"/>
            <wp:docPr id="15" name="Picture 15" descr="原手机A收到B新正文后只读复阅（Hypium结束后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return-full-body-re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5150" cy="29559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4433857" cy="2955904"/>
            <wp:docPr id="16" name="Picture 16" descr="平板B继续阅读并编辑同一记忆（T13测试原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edited-fulltex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3857" cy="29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1" w:lineRule="exact"/>
        <w:keepNext w:val="0"/>
        <w:snapToGrid w:val="0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原手机A收到B新正文后只读复阅（Hypium结束后）（M12）；平板B继续阅读并编辑同一记忆（T13测试原图）（M12）</w:t>
      </w:r>
    </w:p>
    <w:p>
      <w:pPr>
        <w:spacing w:after="140" w:line="304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A保存为M11/T11，P1/F0/E0，146497 ms；B继续与编辑为M12/T13，P1/F0/E0，151558 ms；A返回为M12/T14，P1/F0/E0，81620 ms。</w:t>
      </w:r>
    </w:p>
    <w:p>
      <w:pPr>
        <w:spacing w:after="140" w:line="304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初次B收到的原note、阅读位置与进度和A一致。B重试收到的note与进度仍一致；阅读位置正文一致，版本因初次B真实打开第二条而更新。十项逐字段与嵌套内容比较全部成立。</w:t>
      </w:r>
    </w:p>
    <w:p>
      <w:pPr>
        <w:spacing w:after="140" w:line="304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B编辑保留同一note ID；新正文和版本改变，contentRevision、sceneRevision、choiceId、excerpt及sources冻结上下文不变。A返回收到的记录与B编辑后完全一致。</w:t>
      </w:r>
    </w:p>
    <w:p>
      <w:pPr>
        <w:pStyle w:val="Heading2"/>
        <w:spacing w:after="100" w:line="391" w:lineRule="exact" w:before="140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27"/>
          <w:u w:val="none"/>
        </w:rPr>
        <w:t>实际通道与状态分别说明</w:t>
      </w:r>
    </w:p>
    <w:p>
      <w:pPr>
        <w:spacing w:after="140" w:line="304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实际通道为自建同账号HTTPS服务，经开发机HDC反向端口连接两台原生模拟器；没有云部署。使用独立测试档案，未注入预制通关或记忆来代替同步。</w:t>
      </w:r>
    </w:p>
    <w:p>
      <w:pPr>
        <w:spacing w:after="140" w:line="304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华为账号、鸿蒙原生可信设备跨端传输、完整备份恢复仍未完成。上述结果证明当前自建账号HTTPS路径，不扩展为其他通道已经验收。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跨端延续服务于同一人的文化探索与记忆。它不表示多人协作，也不把本机安装标识当作账号。另一端收到变化后提供继续入口，不强行打断正在编辑的内容。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本次版本的实测范围</w:t>
      </w:r>
    </w:p>
    <w:p>
      <w:pPr>
        <w:spacing w:after="140" w:line="304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以下记录按实际包和原始结果分别列出。构建成功表示可以产出原生安装包，设备用例需要同时核对 Pass、Failure 和 Error；历史版本的通过不能自动继承到后续包。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5256"/>
        <w:gridCol w:w="1296"/>
      </w:tblGrid>
      <w:tr>
        <w:trPr>
          <w:tblHeader/>
        </w:trPr>
        <w:tc>
          <w:tcPr>
            <w:tcW w:type="dxa" w:w="1440"/>
            <w:shd w:fill="DCE6F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u w:val="none"/>
              </w:rPr>
              <w:t>检查</w:t>
            </w:r>
          </w:p>
        </w:tc>
        <w:tc>
          <w:tcPr>
            <w:tcW w:type="dxa" w:w="1440"/>
            <w:shd w:fill="DCE6F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u w:val="none"/>
              </w:rPr>
              <w:t>实际结果</w:t>
            </w:r>
          </w:p>
        </w:tc>
        <w:tc>
          <w:tcPr>
            <w:tcW w:type="dxa" w:w="5256"/>
            <w:shd w:fill="DCE6F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u w:val="none"/>
              </w:rPr>
              <w:t>覆盖范围</w:t>
            </w:r>
          </w:p>
        </w:tc>
        <w:tc>
          <w:tcPr>
            <w:tcW w:type="dxa" w:w="1296"/>
            <w:shd w:fill="DCE6F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  <w:u w:val="none"/>
              </w:rPr>
              <w:t>包标识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本地检查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141/141；9/9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领域与持久化规则；设备报告解析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M12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主包构建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SUCCESS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原生 HAP 构建完成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M12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四城交互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各P1/F0/E0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三门峡、洛阳、郑州、濮阳；12线索落盘，无自动笔记或收藏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M11 / T9、T10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平板选摘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P1/F0/E0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跨两个 Text 选区、UDMF拖入草稿、两次真实旋转后保存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M11 / T11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平板目录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P1/F0/E0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开封/洛阳两条目录切换、两次旋转，正文与冻结依据保持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M12 / T12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开封与分享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定向完成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找桥、拨层、点灯、亲笔保存、原文/出处回读、系统分享取消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M12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桌面卡片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定向完成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M6两卡与内容冷/热启动；M8空记忆卡冷/热入口修复复验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M6、M8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HTTPS闭环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各P1/F0/E0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A保存(M11/T11)→B继续编辑(M12/T13)→A返回(M12/T14)；十项精确比较成立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M11、M12 / T11/13/14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登录选择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各P1/F0/E0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仅登录不复制游客；明确复制后保留原游客及账号已有记录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M12 / T14、T15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入口与文化库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P1/F0/E0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五城可进且无自动记录；自由阅读、检索与分类另有原生定向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66" w:lineRule="exact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  <w:u w:val="none"/>
              </w:rPr>
              <w:t>M12 / T15</w:t>
            </w:r>
          </w:p>
        </w:tc>
      </w:tr>
    </w:tbl>
    <w:p>
      <w:pPr>
        <w:spacing w:after="100" w:line="87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6"/>
          <w:u w:val="none"/>
        </w:rPr>
      </w:r>
    </w:p>
    <w:p>
      <w:pPr>
        <w:spacing w:after="12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P/F/E 为Pass/Failure/Error，成功设备用例Ignore均为0；四城与跨段摘录保留M11版本归属。</w:t>
      </w:r>
    </w:p>
    <w:p>
      <w:pPr>
        <w:spacing w:after="12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四城只隔离账号服务端口，未验证整机断网；自动化耗时不等于真人体验计时。</w:t>
      </w:r>
    </w:p>
    <w:p>
      <w:pPr>
        <w:spacing w:after="12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原始失败继续保留：M11返回、B首轮测试定位及T14键盘遮挡问题，分别经M12、T13、T15对应复验；T15未改M12产品。</w:t>
      </w:r>
    </w:p>
    <w:p>
      <w:pPr>
        <w:pStyle w:val="Heading2"/>
        <w:spacing w:after="100" w:line="391" w:lineRule="exact" w:before="140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27"/>
          <w:u w:val="none"/>
        </w:rPr>
        <w:t>仍按真实能力说明的部分</w:t>
      </w:r>
    </w:p>
    <w:p>
      <w:pPr>
        <w:spacing w:after="14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文化内容保持初稿待校审。Canvas 为原创叙事示意，照片保留许可；传说和考古资料分别标明身份。工程为 HarmonyOS 7 / API 26，不代证 OpenHarmony API 12。华为账号、原生可信跨端与完整恢复状态见上页。</w:t>
      </w:r>
    </w:p>
    <w:p>
      <w:pPr>
        <w:spacing w:after="60" w:line="261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最终主包  M12  7629427 字节</w:t>
      </w:r>
    </w:p>
    <w:p>
      <w:pPr>
        <w:spacing w:after="60" w:line="246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SHA256  FD6E7B3C89A155528FC9166B012AF96DB029DFE8AA379EC4ED669FBECD517094</w:t>
      </w:r>
    </w:p>
    <w:p>
      <w:pPr>
        <w:spacing w:after="60" w:line="246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源码标识  HEAD 910324679288e23f5c20d4803210e1c798c6ca03；未提交产品源码快照 SHA256 468DC77FA82AFA7C563EC8541B4B929976377947955F28B5DBC690F5CA779124</w:t>
      </w:r>
    </w:p>
    <w:p>
      <w:pPr>
        <w:pStyle w:val="Heading1"/>
        <w:keepNext/>
        <w:pageBreakBefore/>
        <w:spacing w:after="240" w:line="620" w:lineRule="exact"/>
      </w:pPr>
      <w:r>
        <w:rPr>
          <w:rFonts w:ascii="Microsoft YaHei" w:hAnsi="Microsoft YaHei" w:eastAsia="Microsoft YaHei" w:cs="Microsoft YaHei"/>
          <w:b/>
          <w:color w:val="000000"/>
          <w:sz w:val="44"/>
          <w:u w:val="none"/>
        </w:rPr>
        <w:t>文化来源与素材说明</w:t>
      </w:r>
    </w:p>
    <w:p>
      <w:pPr>
        <w:spacing w:after="180" w:line="290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20"/>
          <w:u w:val="none"/>
        </w:rPr>
        <w:t>五城首发内容随包离线提供。以下官方资料访问日期沿用本轮内容目录记录的 2026年10月23日。诗文短引注明作者或篇名，传说、考古材料与编辑叙事分别标明身份。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S01  国家文物局 庙底沟遗址资料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http://www.ncha.gov.cn/art/2022/3/19/art_2587_75.html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S02  中国非物质文化遗产网 地坑院营造技艺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https://www.ihchina.cn/project_details/14687.html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S03  中国非物质文化遗产网 三门峡剪纸保护资料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https://www.ihchina.cn/tenyear_protect_detail/20025.html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S04  河南省人民政府 龙门石窟资料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https://m.henan.gov.cn/2026/08-06/3383102.html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S05  中国非物质文化遗产网 洛阳牡丹花会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https://www.ihchina.cn/project_details/15243.html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S06  中国非物质文化遗产网 洛阳水席制作技艺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https://www.ihchina.cn/project_details/14669.html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S07  河南省人民政府 郑韩故城与溱洧资料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https://m.henan.gov.cn/2025/03-10/3134723.html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S08  中国历史研究院 州桥及附近汴河遗址资料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http://hrczh.cass.cn/ywdt/dt/202502/t20250228_5849988.shtml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S09  中国非物质文化遗产网 汴京灯笼张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https://www.ihchina.cn/project_details/14067.html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S10  中国社会科学网 西水坡蚌塑龙虎资料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https://www.cssn.cn/lsx/lsx_kgx/202210/t20221024_5552751.shtml</w:t>
      </w:r>
    </w:p>
    <w:p>
      <w:pPr>
        <w:spacing w:after="20" w:line="275" w:lineRule="exact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19"/>
          <w:u w:val="none"/>
        </w:rPr>
        <w:t>S11  南乐县人民政府 仓颉庙会与地方记忆资料</w:t>
      </w:r>
    </w:p>
    <w:p>
      <w:pPr>
        <w:spacing w:after="100" w:line="25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7"/>
          <w:u w:val="none"/>
        </w:rPr>
        <w:t>http://www.nanle.gov.cn/content/2024/856209.html</w:t>
      </w:r>
    </w:p>
    <w:p>
      <w:pPr>
        <w:pStyle w:val="Heading2"/>
        <w:spacing w:after="100" w:line="391" w:lineRule="exact" w:before="140"/>
        <w:keepNext/>
        <w:snapToGrid w:val="0"/>
      </w:pPr>
      <w:r>
        <w:rPr>
          <w:rFonts w:ascii="Microsoft YaHei" w:hAnsi="Microsoft YaHei" w:eastAsia="Microsoft YaHei" w:cs="Microsoft YaHei"/>
          <w:b/>
          <w:color w:val="000000"/>
          <w:sz w:val="27"/>
          <w:u w:val="none"/>
        </w:rPr>
        <w:t>原生图与授权照片的身份</w:t>
      </w:r>
    </w:p>
    <w:p>
      <w:pPr>
        <w:spacing w:after="100" w:line="275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9"/>
          <w:u w:val="none"/>
        </w:rPr>
        <w:t>本说明的应用画面来自实际原生运行截图。五城 Canvas 与河流长卷为原创叙事示意；读城小笺复用的照片分别为庙底沟彩陶盆、龙门窟龛、郑韩故城城垣与雕塑、西水坡陈列，按原作者署名及 CC BY-SA 或公有领域许可提供。完整原文件链接与许可见项目图片来源记录。</w:t>
      </w:r>
    </w:p>
    <w:p>
      <w:pPr>
        <w:spacing w:after="60" w:line="261" w:lineRule="exact"/>
        <w:keepNext w:val="0"/>
        <w:snapToGrid w:val="0"/>
      </w:pPr>
      <w:r>
        <w:rPr>
          <w:rFonts w:ascii="Microsoft YaHei" w:hAnsi="Microsoft YaHei" w:eastAsia="Microsoft YaHei" w:cs="Microsoft YaHei"/>
          <w:b w:val="0"/>
          <w:color w:val="000000"/>
          <w:sz w:val="18"/>
          <w:u w:val="none"/>
        </w:rPr>
        <w:t>相关文档  ROAMING_EXPERIENCE.md  IMAGE_CREDITS.md  TEST_REPORT.md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000000"/>
        <w:sz w:val="18"/>
        <w:u w:val="none"/>
      </w:rPr>
      <w:t xml:space="preserve">云河纪 省赛五城漫游说明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Microsoft YaHei" w:hAnsi="Microsoft YaHei"/>
      <w:sz w:val="22"/>
      <w:u w:val="non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20" w:lineRule="exact"/>
      <w:outlineLvl w:val="0"/>
    </w:pPr>
    <w:rPr>
      <w:rFonts w:asciiTheme="majorHAnsi" w:eastAsiaTheme="majorEastAsia" w:hAnsiTheme="majorHAnsi" w:cstheme="majorBidi" w:ascii="Microsoft YaHei" w:hAnsi="Microsoft YaHei"/>
      <w:b/>
      <w:bCs/>
      <w:sz w:val="28"/>
      <w:szCs w:val="28"/>
      <w:u w:val="none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20" w:lineRule="exact"/>
      <w:outlineLvl w:val="1"/>
    </w:pPr>
    <w:rPr>
      <w:rFonts w:asciiTheme="majorHAnsi" w:eastAsiaTheme="majorEastAsia" w:hAnsiTheme="majorHAnsi" w:cstheme="majorBidi" w:ascii="Microsoft YaHei" w:hAnsi="Microsoft YaHei"/>
      <w:b/>
      <w:bCs/>
      <w:sz w:val="26"/>
      <w:szCs w:val="26"/>
      <w:u w:val="none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20" w:lineRule="exact"/>
      <w:outlineLvl w:val="2"/>
    </w:pPr>
    <w:rPr>
      <w:rFonts w:asciiTheme="majorHAnsi" w:eastAsiaTheme="majorEastAsia" w:hAnsiTheme="majorHAnsi" w:cstheme="majorBidi" w:ascii="Microsoft YaHei" w:hAnsi="Microsoft YaHei"/>
      <w:b/>
      <w:bCs/>
      <w:u w:val="none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20" w:lineRule="exact"/>
      <w:contextualSpacing/>
    </w:pPr>
    <w:rPr>
      <w:rFonts w:asciiTheme="majorHAnsi" w:eastAsiaTheme="majorEastAsia" w:hAnsiTheme="majorHAnsi" w:cstheme="majorBidi" w:ascii="Microsoft YaHei" w:hAnsi="Microsoft YaHei"/>
      <w:spacing w:val="5"/>
      <w:kern w:val="28"/>
      <w:sz w:val="52"/>
      <w:szCs w:val="52"/>
      <w:u w:val="none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</w:pPr>
    <w:rPr>
      <w:rFonts w:asciiTheme="majorHAnsi" w:eastAsiaTheme="majorEastAsia" w:hAnsiTheme="majorHAnsi" w:cstheme="majorBidi" w:ascii="Microsoft YaHei" w:hAnsi="Microsoft YaHei"/>
      <w:i/>
      <w:iCs/>
      <w:spacing w:val="15"/>
      <w:sz w:val="24"/>
      <w:szCs w:val="24"/>
      <w:u w:val="none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/>
    </w:pPr>
    <w:rPr>
      <w:rFonts w:ascii="Microsoft YaHei" w:hAnsi="Microsoft YaHei"/>
      <w:b/>
      <w:bCs/>
      <w:sz w:val="18"/>
      <w:szCs w:val="18"/>
      <w:u w:val="none"/>
      <w:color w:val="00000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云河纪五城文化漫游说明</dc:title>
  <dc:subject>个人文化探索与记忆应用省赛演示说明</dc:subject>
  <dc:creator>云河纪项目组</dc:creator>
  <cp:keywords/>
  <dc:description/>
  <cp:lastModifiedBy>云河纪项目组</cp:lastModifiedBy>
  <cp:revision>1</cp:revision>
  <dcterms:created xsi:type="dcterms:W3CDTF">2013-12-23T23:15:00Z</dcterms:created>
  <dcterms:modified xsi:type="dcterms:W3CDTF">2013-12-23T23:15:00Z</dcterms:modified>
  <cp:category/>
</cp:coreProperties>
</file>