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COMMERCIAL CONSTRUCTION AGREEMENT</w:t>
        <w:br/>
        <w:t>(AMENDED VERSION)</w:t>
      </w:r>
    </w:p>
    <w:p>
      <w:pPr>
        <w:spacing w:after="120"/>
      </w:pPr>
      <w:r>
        <w:rPr>
          <w:i/>
        </w:rPr>
        <w:t>Agreement No.: CCA-2026-001</w:t>
      </w:r>
    </w:p>
    <w:p>
      <w:pPr>
        <w:spacing w:after="120"/>
      </w:pPr>
      <w:r>
        <w:rPr>
          <w:i/>
        </w:rPr>
        <w:t>Effective Date: August 3, 2026</w:t>
      </w:r>
    </w:p>
    <w:p>
      <w:pPr>
        <w:spacing w:before="200" w:after="80"/>
      </w:pPr>
      <w:r>
        <w:rPr>
          <w:b/>
          <w:sz w:val="26"/>
        </w:rPr>
        <w:t>1. PARTIES</w:t>
      </w:r>
    </w:p>
    <w:p>
      <w:pPr>
        <w:spacing w:after="120"/>
      </w:pPr>
      <w:r>
        <w:rPr>
          <w:i w:val="0"/>
        </w:rPr>
        <w:t>This Commercial Construction Agreement ("Agreement") is entered into between:</w:t>
      </w:r>
    </w:p>
    <w:p>
      <w:pPr>
        <w:spacing w:after="120"/>
      </w:pPr>
      <w:r>
        <w:rPr>
          <w:i w:val="0"/>
        </w:rPr>
        <w:t>Owner (Client): ABC Property Holdings Pty Ltd, 123 Collins Street, Melbourne VIC 3000, Australia</w:t>
      </w:r>
    </w:p>
    <w:p>
      <w:pPr>
        <w:spacing w:after="120"/>
      </w:pPr>
      <w:r>
        <w:rPr>
          <w:i w:val="0"/>
        </w:rPr>
        <w:t>Contractor: Premium Build Solutions Pty Ltd, 456 Business Park Drive, Melbourne VIC 3000, Australia</w:t>
      </w:r>
    </w:p>
    <w:p>
      <w:pPr>
        <w:spacing w:after="120"/>
      </w:pPr>
      <w:r>
        <w:rPr>
          <w:i w:val="0"/>
        </w:rPr>
        <w:t>Collectively referred to as the "Parties."</w:t>
      </w:r>
    </w:p>
    <w:p>
      <w:pPr>
        <w:spacing w:before="200" w:after="80"/>
      </w:pPr>
      <w:r>
        <w:rPr>
          <w:b/>
          <w:sz w:val="26"/>
        </w:rPr>
        <w:t>2. PROJECT</w:t>
      </w:r>
    </w:p>
    <w:p>
      <w:pPr>
        <w:spacing w:after="120"/>
      </w:pPr>
      <w:r>
        <w:rPr>
          <w:i w:val="0"/>
        </w:rPr>
        <w:t>The Contractor agrees to construct a three-storey commercial office building located at: 789 Enterprise Avenue, Melbourne VIC 3000.</w:t>
      </w:r>
    </w:p>
    <w:p>
      <w:pPr>
        <w:spacing w:after="120"/>
      </w:pPr>
      <w:r>
        <w:rPr>
          <w:i w:val="0"/>
        </w:rPr>
        <w:t>The project includes: Site preparation, structural works, concrete and steel framing, roofing, interior fit-out, electrical installation, mechanical services, plumbing, fire protection systems, landscaping, and practical completion and handover.</w:t>
      </w:r>
    </w:p>
    <w:p>
      <w:pPr>
        <w:spacing w:before="200" w:after="80"/>
      </w:pPr>
      <w:r>
        <w:rPr>
          <w:b/>
          <w:sz w:val="26"/>
        </w:rPr>
        <w:t>3. CONTRACT DOCUMENTS</w:t>
      </w:r>
    </w:p>
    <w:p>
      <w:pPr>
        <w:spacing w:after="120"/>
      </w:pPr>
      <w:r>
        <w:rPr>
          <w:i w:val="0"/>
        </w:rPr>
        <w:t>The following documents form part of this Agreement: (1) This Agreement; (2) Approved architectural drawings; (3) Structural drawings; (4) Engineering reports; (5) Specifications; (6) Approved quotation; (7) Construction schedule; (8) Approved variations. In case of conflict, documents shall take precedence in the order listed above.</w:t>
      </w:r>
    </w:p>
    <w:p>
      <w:pPr>
        <w:spacing w:before="200" w:after="80"/>
      </w:pPr>
      <w:r>
        <w:rPr>
          <w:b/>
          <w:sz w:val="26"/>
        </w:rPr>
        <w:t>4. CONTRACT PRICE</w:t>
      </w:r>
    </w:p>
    <w:p>
      <w:pPr>
        <w:spacing w:after="120"/>
      </w:pPr>
      <w:r>
        <w:rPr>
          <w:i w:val="0"/>
        </w:rPr>
        <w:t>The Contract Sum is a fixed lump-sum price of AUD $3,850,000.00 exclusive of GST. This amount includes all labour, materials, equipment, project management, site supervision, standard permits, Contractor overheads and profit. Any adjustment arising from a change in law shall be dealt with under the variation provisions of this Agreement.</w:t>
      </w:r>
    </w:p>
    <w:p>
      <w:pPr>
        <w:spacing w:before="200" w:after="80"/>
      </w:pPr>
      <w:r>
        <w:rPr>
          <w:b/>
          <w:sz w:val="26"/>
        </w:rPr>
        <w:t>5. PAYMENT SCHEDULE</w:t>
      </w:r>
    </w:p>
    <w:p>
      <w:pPr>
        <w:spacing w:after="120"/>
      </w:pPr>
      <w:r>
        <w:rPr>
          <w:i w:val="0"/>
        </w:rPr>
        <w:t>Payments shall be made in accordance with the Building and Construction Industry Security of Payment Act 2002 (Vic) and the following milestones:</w:t>
      </w:r>
    </w:p>
    <w:tbl>
      <w:tblPr>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Percentage</w:t>
            </w:r>
          </w:p>
        </w:tc>
        <w:tc>
          <w:tcPr>
            <w:tcW w:type="dxa" w:w="2880"/>
          </w:tcPr>
          <w:p>
            <w:r>
              <w:rPr>
                <w:b/>
              </w:rPr>
              <w:t>Amount (ex GST)</w:t>
            </w:r>
          </w:p>
        </w:tc>
      </w:tr>
      <w:tr>
        <w:tc>
          <w:tcPr>
            <w:tcW w:type="dxa" w:w="2880"/>
          </w:tcPr>
          <w:p>
            <w:r>
              <w:t>Contract Signing</w:t>
            </w:r>
          </w:p>
        </w:tc>
        <w:tc>
          <w:tcPr>
            <w:tcW w:type="dxa" w:w="2880"/>
          </w:tcPr>
          <w:p>
            <w:r>
              <w:t>10%</w:t>
            </w:r>
          </w:p>
        </w:tc>
        <w:tc>
          <w:tcPr>
            <w:tcW w:type="dxa" w:w="2880"/>
          </w:tcPr>
          <w:p>
            <w:r>
              <w:t>$385,000</w:t>
            </w:r>
          </w:p>
        </w:tc>
      </w:tr>
      <w:tr>
        <w:tc>
          <w:tcPr>
            <w:tcW w:type="dxa" w:w="2880"/>
          </w:tcPr>
          <w:p>
            <w:r>
              <w:t>Site Establishment</w:t>
            </w:r>
          </w:p>
        </w:tc>
        <w:tc>
          <w:tcPr>
            <w:tcW w:type="dxa" w:w="2880"/>
          </w:tcPr>
          <w:p>
            <w:r>
              <w:t>10%</w:t>
            </w:r>
          </w:p>
        </w:tc>
        <w:tc>
          <w:tcPr>
            <w:tcW w:type="dxa" w:w="2880"/>
          </w:tcPr>
          <w:p>
            <w:r>
              <w:t>$385,000</w:t>
            </w:r>
          </w:p>
        </w:tc>
      </w:tr>
      <w:tr>
        <w:tc>
          <w:tcPr>
            <w:tcW w:type="dxa" w:w="2880"/>
          </w:tcPr>
          <w:p>
            <w:r>
              <w:t>Foundations Completed</w:t>
            </w:r>
          </w:p>
        </w:tc>
        <w:tc>
          <w:tcPr>
            <w:tcW w:type="dxa" w:w="2880"/>
          </w:tcPr>
          <w:p>
            <w:r>
              <w:t>15%</w:t>
            </w:r>
          </w:p>
        </w:tc>
        <w:tc>
          <w:tcPr>
            <w:tcW w:type="dxa" w:w="2880"/>
          </w:tcPr>
          <w:p>
            <w:r>
              <w:t>$577,500</w:t>
            </w:r>
          </w:p>
        </w:tc>
      </w:tr>
      <w:tr>
        <w:tc>
          <w:tcPr>
            <w:tcW w:type="dxa" w:w="2880"/>
          </w:tcPr>
          <w:p>
            <w:r>
              <w:t>Structural Frame Completed</w:t>
            </w:r>
          </w:p>
        </w:tc>
        <w:tc>
          <w:tcPr>
            <w:tcW w:type="dxa" w:w="2880"/>
          </w:tcPr>
          <w:p>
            <w:r>
              <w:t>20%</w:t>
            </w:r>
          </w:p>
        </w:tc>
        <w:tc>
          <w:tcPr>
            <w:tcW w:type="dxa" w:w="2880"/>
          </w:tcPr>
          <w:p>
            <w:r>
              <w:t>$770,000</w:t>
            </w:r>
          </w:p>
        </w:tc>
      </w:tr>
      <w:tr>
        <w:tc>
          <w:tcPr>
            <w:tcW w:type="dxa" w:w="2880"/>
          </w:tcPr>
          <w:p>
            <w:r>
              <w:t>Roof Installed</w:t>
            </w:r>
          </w:p>
        </w:tc>
        <w:tc>
          <w:tcPr>
            <w:tcW w:type="dxa" w:w="2880"/>
          </w:tcPr>
          <w:p>
            <w:r>
              <w:t>15%</w:t>
            </w:r>
          </w:p>
        </w:tc>
        <w:tc>
          <w:tcPr>
            <w:tcW w:type="dxa" w:w="2880"/>
          </w:tcPr>
          <w:p>
            <w:r>
              <w:t>$577,500</w:t>
            </w:r>
          </w:p>
        </w:tc>
      </w:tr>
      <w:tr>
        <w:tc>
          <w:tcPr>
            <w:tcW w:type="dxa" w:w="2880"/>
          </w:tcPr>
          <w:p>
            <w:r>
              <w:t>Internal Services Complete</w:t>
            </w:r>
          </w:p>
        </w:tc>
        <w:tc>
          <w:tcPr>
            <w:tcW w:type="dxa" w:w="2880"/>
          </w:tcPr>
          <w:p>
            <w:r>
              <w:t>15%</w:t>
            </w:r>
          </w:p>
        </w:tc>
        <w:tc>
          <w:tcPr>
            <w:tcW w:type="dxa" w:w="2880"/>
          </w:tcPr>
          <w:p>
            <w:r>
              <w:t>$577,500</w:t>
            </w:r>
          </w:p>
        </w:tc>
      </w:tr>
      <w:tr>
        <w:tc>
          <w:tcPr>
            <w:tcW w:type="dxa" w:w="2880"/>
          </w:tcPr>
          <w:p>
            <w:r>
              <w:t>Practical Completion</w:t>
            </w:r>
          </w:p>
        </w:tc>
        <w:tc>
          <w:tcPr>
            <w:tcW w:type="dxa" w:w="2880"/>
          </w:tcPr>
          <w:p>
            <w:r>
              <w:t>10%</w:t>
            </w:r>
          </w:p>
        </w:tc>
        <w:tc>
          <w:tcPr>
            <w:tcW w:type="dxa" w:w="2880"/>
          </w:tcPr>
          <w:p>
            <w:r>
              <w:t>$385,000</w:t>
            </w:r>
          </w:p>
        </w:tc>
      </w:tr>
      <w:tr>
        <w:tc>
          <w:tcPr>
            <w:tcW w:type="dxa" w:w="2880"/>
          </w:tcPr>
          <w:p>
            <w:r>
              <w:t>End of Defects Liability Period</w:t>
            </w:r>
          </w:p>
        </w:tc>
        <w:tc>
          <w:tcPr>
            <w:tcW w:type="dxa" w:w="2880"/>
          </w:tcPr>
          <w:p>
            <w:r>
              <w:t>5%</w:t>
            </w:r>
          </w:p>
        </w:tc>
        <w:tc>
          <w:tcPr>
            <w:tcW w:type="dxa" w:w="2880"/>
          </w:tcPr>
          <w:p>
            <w:r>
              <w:t>$192,500</w:t>
            </w:r>
          </w:p>
        </w:tc>
      </w:tr>
    </w:tbl>
    <w:p>
      <w:pPr>
        <w:spacing w:after="120"/>
      </w:pPr>
      <w:r>
        <w:rPr>
          <w:i w:val="0"/>
        </w:rPr>
        <w:t>The Owner shall certify each payment claim within 14 calendar days of receipt. Any disputed amount shall be identified in writing with reasons, and the undisputed portion shall be paid in full on the due date. Late payments incur interest at 8% per annum.</w:t>
      </w:r>
    </w:p>
    <w:p>
      <w:pPr>
        <w:spacing w:after="120"/>
      </w:pPr>
      <w:r>
        <w:rPr>
          <w:i w:val="0"/>
        </w:rPr>
        <w:t>Invoices / payment claims are payable within 14 calendar days of receipt of a valid payment claim, in accordance with the Building and Construction Industry Security of Payment Act 2002 (Vic).</w:t>
      </w:r>
    </w:p>
    <w:p>
      <w:pPr>
        <w:spacing w:before="200" w:after="80"/>
      </w:pPr>
      <w:r>
        <w:rPr>
          <w:b/>
          <w:sz w:val="26"/>
        </w:rPr>
        <w:t>5A. SUSPENSION FOR NON-PAYMENT</w:t>
      </w:r>
    </w:p>
    <w:p>
      <w:pPr>
        <w:spacing w:after="120"/>
      </w:pPr>
      <w:r>
        <w:rPr>
          <w:i w:val="0"/>
        </w:rPr>
        <w:t>If the Owner fails to pay any amount properly due under this Agreement within 14 days after the due date, the Contractor may, after giving 7 days’ written notice, suspend the whole or any part of the Works until payment is received. The Contractor shall be entitled to an Extension of Time and reasonable prolongation costs arising from any such suspension. This clause does not limit any statutory right of suspension.</w:t>
      </w:r>
    </w:p>
    <w:p>
      <w:pPr>
        <w:spacing w:before="200" w:after="80"/>
      </w:pPr>
      <w:r>
        <w:rPr>
          <w:b/>
          <w:sz w:val="26"/>
        </w:rPr>
        <w:t>6. SCOPE OF WORK</w:t>
      </w:r>
    </w:p>
    <w:p>
      <w:pPr>
        <w:spacing w:after="120"/>
      </w:pPr>
      <w:r>
        <w:rPr>
          <w:i w:val="0"/>
        </w:rPr>
        <w:t>The Contractor shall: supply qualified personnel; supply materials; coordinate subcontractors; maintain quality control; comply with all applicable laws; obtain required inspections; and deliver the completed project according to the approved plans.</w:t>
      </w:r>
    </w:p>
    <w:p>
      <w:pPr>
        <w:spacing w:before="200" w:after="80"/>
      </w:pPr>
      <w:r>
        <w:rPr>
          <w:b/>
          <w:sz w:val="26"/>
        </w:rPr>
        <w:t>7. OWNER RESPONSIBILITIES</w:t>
      </w:r>
    </w:p>
    <w:p>
      <w:pPr>
        <w:spacing w:after="120"/>
      </w:pPr>
      <w:r>
        <w:rPr>
          <w:i w:val="0"/>
        </w:rPr>
        <w:t>The Owner shall: provide site access; approve drawings promptly; make payments on time; supply information reasonably requested; and appoint a project representative.</w:t>
      </w:r>
    </w:p>
    <w:p>
      <w:pPr>
        <w:spacing w:before="200" w:after="80"/>
      </w:pPr>
      <w:r>
        <w:rPr>
          <w:b/>
          <w:sz w:val="26"/>
        </w:rPr>
        <w:t>8. CONSTRUCTION PROGRAMME</w:t>
      </w:r>
    </w:p>
    <w:p>
      <w:pPr>
        <w:spacing w:after="120"/>
      </w:pPr>
      <w:r>
        <w:rPr>
          <w:i w:val="0"/>
        </w:rPr>
        <w:t>The Date for Practical Completion is 31 July 2027 (as adjusted under this Agreement). The Contractor shall use its best endeavours to achieve Practical Completion by that date. Commencement is estimated as 1 September 2026; construction duration is 11 months.</w:t>
      </w:r>
    </w:p>
    <w:p>
      <w:pPr>
        <w:spacing w:before="200" w:after="80"/>
      </w:pPr>
      <w:r>
        <w:rPr>
          <w:b/>
          <w:sz w:val="26"/>
        </w:rPr>
        <w:t>9. VARIATIONS</w:t>
      </w:r>
    </w:p>
    <w:p>
      <w:pPr>
        <w:spacing w:after="120"/>
      </w:pPr>
      <w:r>
        <w:rPr>
          <w:i w:val="0"/>
        </w:rPr>
        <w:t>No variation shall be performed unless requested by the Owner or required by law. Every variation shall include: description; cost impact; programme impact; and written approval. No verbal instruction constitutes a variation.</w:t>
      </w:r>
    </w:p>
    <w:p>
      <w:pPr>
        <w:spacing w:before="200" w:after="80"/>
      </w:pPr>
      <w:r>
        <w:rPr>
          <w:b/>
          <w:sz w:val="26"/>
        </w:rPr>
        <w:t>10. DELAYS</w:t>
      </w:r>
    </w:p>
    <w:p>
      <w:pPr>
        <w:spacing w:after="120"/>
      </w:pPr>
      <w:r>
        <w:rPr>
          <w:i w:val="0"/>
        </w:rPr>
        <w:t>The Contractor is entitled to an Extension of Time for delays caused by: severe weather; industrial action; government restrictions; latent site conditions; Owner-caused delays; and force majeure events. The Contractor must notify the Owner within 10 business days of becoming aware of the delay.</w:t>
      </w:r>
    </w:p>
    <w:p>
      <w:pPr>
        <w:spacing w:before="200" w:after="80"/>
      </w:pPr>
      <w:r>
        <w:rPr>
          <w:b/>
          <w:sz w:val="26"/>
        </w:rPr>
        <w:t>10A. LIQUIDATED DAMAGES</w:t>
      </w:r>
    </w:p>
    <w:p>
      <w:pPr>
        <w:spacing w:after="120"/>
      </w:pPr>
      <w:r>
        <w:rPr>
          <w:i w:val="0"/>
        </w:rPr>
        <w:t>If the Contractor fails to achieve Practical Completion by the Date for Practical Completion (as adjusted under this Agreement), the Contractor shall pay the Owner liquidated damages at the rate of $3,000 per calendar day (calculated to cover the Owner’s re-tendering, financing and holding costs) up to a maximum of 10% of the Contract Sum. The parties agree that this amount is a genuine pre-estimate of the loss the Owner is likely to suffer and is not a penalty.</w:t>
      </w:r>
    </w:p>
    <w:p>
      <w:pPr>
        <w:spacing w:before="200" w:after="80"/>
      </w:pPr>
      <w:r>
        <w:rPr>
          <w:b/>
          <w:sz w:val="26"/>
        </w:rPr>
        <w:t>11. QUALITY</w:t>
      </w:r>
    </w:p>
    <w:p>
      <w:pPr>
        <w:spacing w:after="120"/>
      </w:pPr>
      <w:r>
        <w:rPr>
          <w:i w:val="0"/>
        </w:rPr>
        <w:t>All works shall comply with applicable building codes, approved plans, and relevant Australian Standards, and be performed using good industry practice.</w:t>
      </w:r>
    </w:p>
    <w:p>
      <w:pPr>
        <w:spacing w:before="200" w:after="80"/>
      </w:pPr>
      <w:r>
        <w:rPr>
          <w:b/>
          <w:sz w:val="26"/>
        </w:rPr>
        <w:t>12. PRACTICAL COMPLETION</w:t>
      </w:r>
    </w:p>
    <w:p>
      <w:pPr>
        <w:spacing w:after="120"/>
      </w:pPr>
      <w:r>
        <w:rPr>
          <w:i w:val="0"/>
        </w:rPr>
        <w:t>Practical Completion occurs when: works are substantially complete; the building can be occupied for its intended purpose; and only minor defects remain. The Contractor shall issue a Notice of Practical Completion.</w:t>
      </w:r>
    </w:p>
    <w:p>
      <w:pPr>
        <w:spacing w:before="200" w:after="80"/>
      </w:pPr>
      <w:r>
        <w:rPr>
          <w:b/>
          <w:sz w:val="26"/>
        </w:rPr>
        <w:t>13. DEFECTS LIABILITY</w:t>
      </w:r>
    </w:p>
    <w:p>
      <w:pPr>
        <w:spacing w:after="120"/>
      </w:pPr>
      <w:r>
        <w:rPr>
          <w:i w:val="0"/>
        </w:rPr>
        <w:t>The Defects Liability Period shall be 12 months. The Contractor shall rectify defects caused by defective workmanship or materials within a reasonable period after written notification.</w:t>
      </w:r>
    </w:p>
    <w:p>
      <w:pPr>
        <w:spacing w:before="200" w:after="80"/>
      </w:pPr>
      <w:r>
        <w:rPr>
          <w:b/>
          <w:sz w:val="26"/>
        </w:rPr>
        <w:t>14. WARRANTIES</w:t>
      </w:r>
    </w:p>
    <w:p>
      <w:pPr>
        <w:spacing w:after="120"/>
      </w:pPr>
      <w:r>
        <w:rPr>
          <w:i w:val="0"/>
        </w:rPr>
        <w:t>The Contractor warrants that: materials are new unless specified otherwise; workmanship meets industry standards; works comply with approved drawings; and qualified personnel performed the works.</w:t>
      </w:r>
    </w:p>
    <w:p>
      <w:pPr>
        <w:spacing w:before="200" w:after="80"/>
      </w:pPr>
      <w:r>
        <w:rPr>
          <w:b/>
          <w:sz w:val="26"/>
        </w:rPr>
        <w:t>15. INSURANCE</w:t>
      </w:r>
    </w:p>
    <w:p>
      <w:pPr>
        <w:spacing w:after="120"/>
      </w:pPr>
      <w:r>
        <w:rPr>
          <w:i w:val="0"/>
        </w:rPr>
        <w:t>The Contractor shall maintain: Public Liability Insurance; Workers Compensation Insurance; Contract Works Insurance; and Professional Indemnity Insurance (where applicable). Certificates of currency shall be provided upon request.</w:t>
      </w:r>
    </w:p>
    <w:p>
      <w:pPr>
        <w:spacing w:before="200" w:after="80"/>
      </w:pPr>
      <w:r>
        <w:rPr>
          <w:b/>
          <w:sz w:val="26"/>
        </w:rPr>
        <w:t>15A. PERFORMANCE SECURITY</w:t>
      </w:r>
    </w:p>
    <w:p>
      <w:pPr>
        <w:spacing w:after="120"/>
      </w:pPr>
      <w:r>
        <w:rPr>
          <w:i w:val="0"/>
        </w:rPr>
        <w:t>(a) Within 10 business days of the Effective Date, the Contractor shall provide the Owner with an unconditional bank guarantee (or insurance bond) for 5% of the Contract Sum from an Australian bank acceptable to the Owner.</w:t>
      </w:r>
    </w:p>
    <w:p>
      <w:pPr>
        <w:spacing w:after="120"/>
      </w:pPr>
      <w:r>
        <w:rPr>
          <w:i w:val="0"/>
        </w:rPr>
        <w:t>(b) The security shall be reduced to 2.5% of the Contract Sum upon the issue of the Notice of Practical Completion and shall be released within 14 days after the end of the Defects Liability Period, provided there are no outstanding defects as certified by the Owner’s project representative.</w:t>
      </w:r>
    </w:p>
    <w:p>
      <w:pPr>
        <w:spacing w:after="120"/>
      </w:pPr>
      <w:r>
        <w:rPr>
          <w:i w:val="0"/>
        </w:rPr>
        <w:t>(c) The Owner may call on the security to recover any amount properly due from the Contractor under this Agreement.</w:t>
      </w:r>
    </w:p>
    <w:p>
      <w:pPr>
        <w:spacing w:before="200" w:after="80"/>
      </w:pPr>
      <w:r>
        <w:rPr>
          <w:b/>
          <w:sz w:val="26"/>
        </w:rPr>
        <w:t>16. WORK HEALTH AND SAFETY</w:t>
      </w:r>
    </w:p>
    <w:p>
      <w:pPr>
        <w:spacing w:after="120"/>
      </w:pPr>
      <w:r>
        <w:rPr>
          <w:i w:val="0"/>
        </w:rPr>
        <w:t>The Contractor shall comply with all applicable workplace health and safety legislation and maintain a safe construction site.</w:t>
      </w:r>
    </w:p>
    <w:p>
      <w:pPr>
        <w:spacing w:before="200" w:after="80"/>
      </w:pPr>
      <w:r>
        <w:rPr>
          <w:b/>
          <w:sz w:val="26"/>
        </w:rPr>
        <w:t>17. CONFIDENTIALITY</w:t>
      </w:r>
    </w:p>
    <w:p>
      <w:pPr>
        <w:spacing w:after="120"/>
      </w:pPr>
      <w:r>
        <w:rPr>
          <w:i w:val="0"/>
        </w:rPr>
        <w:t>Neither Party shall disclose confidential commercial information except: where required by law; with written consent; or to professional advisers under confidentiality obligations.</w:t>
      </w:r>
    </w:p>
    <w:p>
      <w:pPr>
        <w:spacing w:before="200" w:after="80"/>
      </w:pPr>
      <w:r>
        <w:rPr>
          <w:b/>
          <w:sz w:val="26"/>
        </w:rPr>
        <w:t>18. INTELLECTUAL PROPERTY</w:t>
      </w:r>
    </w:p>
    <w:p>
      <w:pPr>
        <w:spacing w:after="120"/>
      </w:pPr>
      <w:r>
        <w:rPr>
          <w:i w:val="0"/>
        </w:rPr>
        <w:t>Design documents prepared specifically for the project remain the intellectual property of their creator until payment has been received in full. Upon final payment, the Owner receives a non-exclusive licence to use the documents solely for the completed project.</w:t>
      </w:r>
    </w:p>
    <w:p>
      <w:pPr>
        <w:spacing w:before="200" w:after="80"/>
      </w:pPr>
      <w:r>
        <w:rPr>
          <w:b/>
          <w:sz w:val="26"/>
        </w:rPr>
        <w:t>19. TERMINATION</w:t>
      </w:r>
    </w:p>
    <w:p>
      <w:pPr>
        <w:spacing w:after="120"/>
      </w:pPr>
      <w:r>
        <w:rPr>
          <w:i w:val="0"/>
        </w:rPr>
        <w:t>Either Party may terminate this Agreement if the other Party: materially breaches this Agreement; becomes insolvent; or fails to remedy a breach within fourteen (14) days after written notice.</w:t>
      </w:r>
    </w:p>
    <w:p>
      <w:pPr>
        <w:spacing w:before="200" w:after="80"/>
      </w:pPr>
      <w:r>
        <w:rPr>
          <w:b/>
          <w:sz w:val="26"/>
        </w:rPr>
        <w:t>20. LIMITATION OF LIABILITY</w:t>
      </w:r>
    </w:p>
    <w:p>
      <w:pPr>
        <w:spacing w:after="120"/>
      </w:pPr>
      <w:r>
        <w:rPr>
          <w:i w:val="0"/>
        </w:rPr>
        <w:t>Except for liability arising from death or personal injury, fraud, wilful misconduct, or any liability that cannot be excluded or limited by law: (a) neither Party shall be liable to the other for any indirect, special, incidental or consequential loss or damage; and (b) the Contractor’s aggregate liability under or in connection with this Agreement (including under the indemnity in clause 21) shall not exceed the Contract Sum.</w:t>
      </w:r>
    </w:p>
    <w:p>
      <w:pPr>
        <w:spacing w:after="120"/>
      </w:pPr>
      <w:r>
        <w:rPr>
          <w:i w:val="0"/>
        </w:rPr>
        <w:t>The limitations in this clause apply to all claims howsoever arising, including claims in contract, tort (including negligence), equity, under statute or otherwise.</w:t>
      </w:r>
    </w:p>
    <w:p>
      <w:pPr>
        <w:spacing w:before="200" w:after="80"/>
      </w:pPr>
      <w:r>
        <w:rPr>
          <w:b/>
          <w:sz w:val="26"/>
        </w:rPr>
        <w:t>21. INDEMNITY</w:t>
      </w:r>
    </w:p>
    <w:p>
      <w:pPr>
        <w:spacing w:after="120"/>
      </w:pPr>
      <w:r>
        <w:rPr>
          <w:i w:val="0"/>
        </w:rPr>
        <w:t>The Contractor indemnifies the Owner against claims arising from: negligence; personal injury; property damage; and breach of this Agreement, to the extent caused by the Contractor.</w:t>
      </w:r>
    </w:p>
    <w:p>
      <w:pPr>
        <w:spacing w:after="120"/>
      </w:pPr>
      <w:r>
        <w:rPr>
          <w:i w:val="0"/>
        </w:rPr>
        <w:t>This indemnity is subject to the limitation of liability in clause 20, except in respect of liability for death or personal injury, fraud or wilful misconduct.</w:t>
      </w:r>
    </w:p>
    <w:p>
      <w:pPr>
        <w:spacing w:before="200" w:after="80"/>
      </w:pPr>
      <w:r>
        <w:rPr>
          <w:b/>
          <w:sz w:val="26"/>
        </w:rPr>
        <w:t>22. FORCE MAJEURE</w:t>
      </w:r>
    </w:p>
    <w:p>
      <w:pPr>
        <w:spacing w:after="120"/>
      </w:pPr>
      <w:r>
        <w:rPr>
          <w:i w:val="0"/>
        </w:rPr>
        <w:t>Neither Party shall be liable for delays caused by events beyond reasonable control, including: floods; earthquakes; pandemics; government actions; war; terrorism; and major utility failures.</w:t>
      </w:r>
    </w:p>
    <w:p>
      <w:pPr>
        <w:spacing w:before="200" w:after="80"/>
      </w:pPr>
      <w:r>
        <w:rPr>
          <w:b/>
          <w:sz w:val="26"/>
        </w:rPr>
        <w:t>23. DISPUTE RESOLUTION</w:t>
      </w:r>
    </w:p>
    <w:p>
      <w:pPr>
        <w:spacing w:after="120"/>
      </w:pPr>
      <w:r>
        <w:rPr>
          <w:i w:val="0"/>
        </w:rPr>
        <w:t>The Parties agree to attempt resolution through: (1) Senior management negotiation; (2) Mediation; (3) Arbitration; and (4) Court proceedings if necessary.</w:t>
      </w:r>
    </w:p>
    <w:p>
      <w:pPr>
        <w:spacing w:before="200" w:after="80"/>
      </w:pPr>
      <w:r>
        <w:rPr>
          <w:b/>
          <w:sz w:val="26"/>
        </w:rPr>
        <w:t>24. GOVERNING LAW</w:t>
      </w:r>
    </w:p>
    <w:p>
      <w:pPr>
        <w:spacing w:after="120"/>
      </w:pPr>
      <w:r>
        <w:rPr>
          <w:i w:val="0"/>
        </w:rPr>
        <w:t>This Agreement shall be governed by the laws of the State of Victoria, Australia.</w:t>
      </w:r>
    </w:p>
    <w:p>
      <w:pPr>
        <w:spacing w:before="200" w:after="80"/>
      </w:pPr>
      <w:r>
        <w:rPr>
          <w:b/>
          <w:sz w:val="26"/>
        </w:rPr>
        <w:t>25. NOTICES</w:t>
      </w:r>
    </w:p>
    <w:p>
      <w:pPr>
        <w:spacing w:after="120"/>
      </w:pPr>
      <w:r>
        <w:rPr>
          <w:i w:val="0"/>
        </w:rPr>
        <w:t>All notices shall be in writing and delivered by: registered mail; courier; or email with confirmation of receipt.</w:t>
      </w:r>
    </w:p>
    <w:p>
      <w:pPr>
        <w:spacing w:before="200" w:after="80"/>
      </w:pPr>
      <w:r>
        <w:rPr>
          <w:b/>
          <w:sz w:val="26"/>
        </w:rPr>
        <w:t>26. ENTIRE AGREEMENT</w:t>
      </w:r>
    </w:p>
    <w:p>
      <w:pPr>
        <w:spacing w:after="120"/>
      </w:pPr>
      <w:r>
        <w:rPr>
          <w:i w:val="0"/>
        </w:rPr>
        <w:t>This Agreement constitutes the entire agreement between the Parties and supersedes all prior negotiations.</w:t>
      </w:r>
    </w:p>
    <w:p>
      <w:pPr>
        <w:spacing w:before="200" w:after="80"/>
      </w:pPr>
      <w:r>
        <w:rPr>
          <w:b/>
          <w:sz w:val="26"/>
        </w:rPr>
        <w:t>27. EXECUTION</w:t>
      </w:r>
    </w:p>
    <w:p>
      <w:pPr>
        <w:spacing w:after="120"/>
      </w:pPr>
      <w:r>
        <w:rPr>
          <w:i w:val="0"/>
        </w:rPr>
        <w:t>OWNER: Name: _______________  Title: _______________  Signature: _______________  Date: _______________</w:t>
      </w:r>
    </w:p>
    <w:p>
      <w:pPr>
        <w:spacing w:after="120"/>
      </w:pPr>
      <w:r>
        <w:rPr>
          <w:i w:val="0"/>
        </w:rPr>
        <w:t>CONTRACTOR: Name: _______________  Title: _______________  Signature: _______________  Date: _______________</w:t>
      </w:r>
    </w:p>
    <w:p>
      <w:pPr>
        <w:spacing w:before="200" w:after="80"/>
      </w:pPr>
      <w:r>
        <w:rPr>
          <w:b/>
          <w:sz w:val="26"/>
        </w:rPr>
        <w:t>SCHEDULE A – PROJECT SPECIFICATIONS</w:t>
      </w:r>
    </w:p>
    <w:p>
      <w:pPr>
        <w:spacing w:after="120"/>
      </w:pPr>
      <w:r>
        <w:rPr>
          <w:i w:val="0"/>
        </w:rPr>
        <w:t>Building Area: 3,800 m² · Structural Steel Frame · Reinforced Concrete Slab · Curtain Wall Glazing · Premium Office Fit-out · Lift Installation · Fire Detection System · HVAC System · CCTV and Access Control · Landscaping</w:t>
      </w:r>
    </w:p>
    <w:p>
      <w:pPr>
        <w:spacing w:before="200" w:after="80"/>
      </w:pPr>
      <w:r>
        <w:rPr>
          <w:b/>
          <w:sz w:val="26"/>
        </w:rPr>
        <w:t>SCHEDULE B – PAYMENT MILESTONES</w:t>
      </w:r>
    </w:p>
    <w:p>
      <w:pPr>
        <w:spacing w:after="120"/>
      </w:pPr>
      <w:r>
        <w:rPr>
          <w:i w:val="0"/>
        </w:rPr>
        <w:t>(Identical to the payment milestone table in clause 5: Contract Signing 10%; Site Establishment 10%; Foundations Completed 15%; Structural Frame Completed 20%; Roof Installed 15%; Internal Services Complete 15%; Practical Completion 10%; End of Defects Liability Period 5%. Retention released at the end of the Defects Liability Period subject to sign-off of outstanding defects.)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