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88720" cy="1188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1188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80"/>
        <w:jc w:val="center"/>
      </w:pPr>
      <w:r>
        <w:rPr>
          <w:rFonts w:ascii="Arial" w:hAnsi="Arial" w:eastAsia="Heiti SC"/>
          <w:b/>
          <w:color w:val="163957"/>
          <w:sz w:val="48"/>
        </w:rPr>
        <w:t>商业价值分析报告</w:t>
      </w:r>
    </w:p>
    <w:p>
      <w:pPr>
        <w:jc w:val="center"/>
      </w:pPr>
      <w:r>
        <w:rPr>
          <w:rFonts w:ascii="Arial" w:hAnsi="Arial" w:eastAsia="Heiti SC"/>
          <w:color w:val="1F4E79"/>
          <w:sz w:val="26"/>
        </w:rPr>
        <w:t>OpenViking 通用 AI 知识库底座</w:t>
      </w:r>
    </w:p>
    <w:p>
      <w:pPr>
        <w:spacing w:before="240"/>
        <w:jc w:val="center"/>
      </w:pPr>
      <w:r>
        <w:rPr>
          <w:rFonts w:ascii="Arial" w:hAnsi="Arial" w:eastAsia="Heiti SC"/>
          <w:b/>
          <w:color w:val="4A5568"/>
          <w:sz w:val="22"/>
        </w:rPr>
        <w:t>第二届西软 AI 提效大赛参赛材料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7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6690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187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9"/>
              </w:rPr>
              <w:t>适用赛道</w:t>
            </w:r>
          </w:p>
        </w:tc>
        <w:tc>
          <w:tcPr>
            <w:tcW w:type="dxa" w:w="6690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9"/>
              </w:rPr>
              <w:t>赛道二：客户 AI 赋能</w:t>
            </w:r>
          </w:p>
        </w:tc>
      </w:tr>
      <w:tr>
        <w:tc>
          <w:tcPr>
            <w:tcW w:type="dxa" w:w="187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9"/>
              </w:rPr>
              <w:t>核心客户价值</w:t>
            </w:r>
          </w:p>
        </w:tc>
        <w:tc>
          <w:tcPr>
            <w:tcW w:type="dxa" w:w="6690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9"/>
              </w:rPr>
              <w:t>降本、增收、提效、体验升级、知识资产化</w:t>
            </w:r>
          </w:p>
        </w:tc>
      </w:tr>
      <w:tr>
        <w:tc>
          <w:tcPr>
            <w:tcW w:type="dxa" w:w="187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9"/>
              </w:rPr>
              <w:t>重点案例</w:t>
            </w:r>
          </w:p>
        </w:tc>
        <w:tc>
          <w:tcPr>
            <w:tcW w:type="dxa" w:w="6690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9"/>
              </w:rPr>
              <w:t>智能客服、智能投标</w:t>
            </w:r>
          </w:p>
        </w:tc>
      </w:tr>
      <w:tr>
        <w:tc>
          <w:tcPr>
            <w:tcW w:type="dxa" w:w="187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9"/>
              </w:rPr>
              <w:t>版本日期</w:t>
            </w:r>
          </w:p>
        </w:tc>
        <w:tc>
          <w:tcPr>
            <w:tcW w:type="dxa" w:w="6690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9"/>
              </w:rPr>
              <w:t>2026 年 5 月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3FA"/>
            <w:tcBorders>
              <w:top w:val="single" w:sz="8" w:space="0" w:color="B7D4EA"/>
              <w:left w:val="single" w:sz="8" w:space="0" w:color="B7D4EA"/>
              <w:bottom w:val="single" w:sz="8" w:space="0" w:color="B7D4EA"/>
              <w:right w:val="single" w:sz="8" w:space="0" w:color="B7D4EA"/>
              <w:insideH w:val="single" w:sz="8" w:space="0" w:color="B7D4EA"/>
              <w:insideV w:val="single" w:sz="8" w:space="0" w:color="B7D4EA"/>
            </w:tcBorders>
            <w:tcMar>
              <w:top w:w="150" w:type="dxa"/>
              <w:left w:w="180" w:type="dxa"/>
              <w:bottom w:w="150" w:type="dxa"/>
              <w:right w:w="180" w:type="dxa"/>
            </w:tcMar>
          </w:tcPr>
          <w:p>
            <w:pPr>
              <w:spacing w:after="80"/>
            </w:pPr>
            <w:r>
              <w:rPr>
                <w:rFonts w:ascii="Arial" w:hAnsi="Arial" w:eastAsia="Heiti SC"/>
                <w:b/>
                <w:color w:val="163957"/>
                <w:sz w:val="22"/>
              </w:rPr>
              <w:t>一句话定位</w:t>
            </w:r>
          </w:p>
          <w:p>
            <w:pPr>
              <w:spacing w:after="0"/>
            </w:pPr>
            <w:r>
              <w:rPr>
                <w:rFonts w:ascii="Arial" w:hAnsi="Arial" w:eastAsia="Heiti SC"/>
                <w:color w:val="1F2933"/>
                <w:sz w:val="20"/>
              </w:rPr>
              <w:t>以 OpenViking 为通用 AI 知识库与上下文数据库底座，把企业分散的文档、经验、资质、案例和会话记忆组织成可检索、可观察、可复用的 AI 能力层，并通过智能客服与智能投标验证落地价值。</w:t>
            </w:r>
          </w:p>
        </w:tc>
      </w:tr>
    </w:tbl>
    <w:p/>
    <w:p>
      <w:r>
        <w:br w:type="page"/>
      </w:r>
    </w:p>
    <w:p>
      <w:pPr>
        <w:pStyle w:val="Heading1"/>
      </w:pPr>
      <w:r>
        <w:t>一、客户价值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客户痛点</w:t>
            </w:r>
          </w:p>
        </w:tc>
        <w:tc>
          <w:tcPr>
            <w:tcW w:type="dxa" w:w="396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OpenViking 价值</w:t>
            </w:r>
          </w:p>
        </w:tc>
        <w:tc>
          <w:tcPr>
            <w:tcW w:type="dxa" w:w="226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可衡量指标</w:t>
            </w:r>
          </w:p>
        </w:tc>
      </w:tr>
      <w:tr>
        <w:tc>
          <w:tcPr>
            <w:tcW w:type="dxa" w:w="226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客户咨询重复且依赖人工经验</w:t>
            </w:r>
          </w:p>
        </w:tc>
        <w:tc>
          <w:tcPr>
            <w:tcW w:type="dxa" w:w="396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AI 客服基于统一知识库提供 7x24 自助问答，并保留人工接管。</w:t>
            </w:r>
          </w:p>
        </w:tc>
        <w:tc>
          <w:tcPr>
            <w:tcW w:type="dxa" w:w="226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自助命中率、平均响应时长、人工接管率。</w:t>
            </w:r>
          </w:p>
        </w:tc>
      </w:tr>
      <w:tr>
        <w:tc>
          <w:tcPr>
            <w:tcW w:type="dxa" w:w="226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售前/投标资料分散</w:t>
            </w:r>
          </w:p>
        </w:tc>
        <w:tc>
          <w:tcPr>
            <w:tcW w:type="dxa" w:w="396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投标助手自动检索资质、方案、案例和图片证据，生成可审核证据包。</w:t>
            </w:r>
          </w:p>
        </w:tc>
        <w:tc>
          <w:tcPr>
            <w:tcW w:type="dxa" w:w="226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章节准备耗时、证据覆盖率、返工次数。</w:t>
            </w:r>
          </w:p>
        </w:tc>
      </w:tr>
      <w:tr>
        <w:tc>
          <w:tcPr>
            <w:tcW w:type="dxa" w:w="226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知识难以持续沉淀</w:t>
            </w:r>
          </w:p>
        </w:tc>
        <w:tc>
          <w:tcPr>
            <w:tcW w:type="dxa" w:w="396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会话、材料和技能统一进入上下文数据库，越用越完整。</w:t>
            </w:r>
          </w:p>
        </w:tc>
        <w:tc>
          <w:tcPr>
            <w:tcW w:type="dxa" w:w="226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新增知识数量、高频问题沉淀率、复用次数。</w:t>
            </w:r>
          </w:p>
        </w:tc>
      </w:tr>
      <w:tr>
        <w:tc>
          <w:tcPr>
            <w:tcW w:type="dxa" w:w="226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AI 应用难以复制</w:t>
            </w:r>
          </w:p>
        </w:tc>
        <w:tc>
          <w:tcPr>
            <w:tcW w:type="dxa" w:w="396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底座与应用解耦，同一知识库可支撑多个 Agent。</w:t>
            </w:r>
          </w:p>
        </w:tc>
        <w:tc>
          <w:tcPr>
            <w:tcW w:type="dxa" w:w="226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新增应用接入周期、跨场景复用率。</w:t>
            </w:r>
          </w:p>
        </w:tc>
      </w:tr>
    </w:tbl>
    <w:p/>
    <w:p>
      <w:pPr>
        <w:pStyle w:val="Heading1"/>
      </w:pPr>
      <w:r>
        <w:t>二、目标客户与场景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客户类型</w:t>
            </w:r>
          </w:p>
        </w:tc>
        <w:tc>
          <w:tcPr>
            <w:tcW w:type="dxa" w:w="396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典型场景</w:t>
            </w:r>
          </w:p>
        </w:tc>
        <w:tc>
          <w:tcPr>
            <w:tcW w:type="dxa" w:w="255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切入方式</w:t>
            </w:r>
          </w:p>
        </w:tc>
      </w:tr>
      <w:tr>
        <w:tc>
          <w:tcPr>
            <w:tcW w:type="dxa" w:w="198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酒店集团/单体酒店</w:t>
            </w:r>
          </w:p>
        </w:tc>
        <w:tc>
          <w:tcPr>
            <w:tcW w:type="dxa" w:w="396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客人咨询、会员权益、房型/套餐说明、内部员工知识问答。</w:t>
            </w:r>
          </w:p>
        </w:tc>
        <w:tc>
          <w:tcPr>
            <w:tcW w:type="dxa" w:w="255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从智能客服与员工助手切入。</w:t>
            </w:r>
          </w:p>
        </w:tc>
      </w:tr>
      <w:tr>
        <w:tc>
          <w:tcPr>
            <w:tcW w:type="dxa" w:w="198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景区/文旅综合体</w:t>
            </w:r>
          </w:p>
        </w:tc>
        <w:tc>
          <w:tcPr>
            <w:tcW w:type="dxa" w:w="396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导览问答、投诉处理、活动/票务咨询、运营知识库。</w:t>
            </w:r>
          </w:p>
        </w:tc>
        <w:tc>
          <w:tcPr>
            <w:tcW w:type="dxa" w:w="255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从游客服务与运营问答切入。</w:t>
            </w:r>
          </w:p>
        </w:tc>
      </w:tr>
      <w:tr>
        <w:tc>
          <w:tcPr>
            <w:tcW w:type="dxa" w:w="198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系统集成/项目型客户</w:t>
            </w:r>
          </w:p>
        </w:tc>
        <w:tc>
          <w:tcPr>
            <w:tcW w:type="dxa" w:w="396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投标资料管理、方案复用、资质证明、项目案例检索。</w:t>
            </w:r>
          </w:p>
        </w:tc>
        <w:tc>
          <w:tcPr>
            <w:tcW w:type="dxa" w:w="255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从投标助手和方案助手切入。</w:t>
            </w:r>
          </w:p>
        </w:tc>
      </w:tr>
      <w:tr>
        <w:tc>
          <w:tcPr>
            <w:tcW w:type="dxa" w:w="198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公司内部业务团队</w:t>
            </w:r>
          </w:p>
        </w:tc>
        <w:tc>
          <w:tcPr>
            <w:tcW w:type="dxa" w:w="396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客服、实施、售前、研发知识沉淀与复用。</w:t>
            </w:r>
          </w:p>
        </w:tc>
        <w:tc>
          <w:tcPr>
            <w:tcW w:type="dxa" w:w="255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先内部试点，再产品化输出。</w:t>
            </w:r>
          </w:p>
        </w:tc>
      </w:tr>
    </w:tbl>
    <w:p/>
    <w:p>
      <w:pPr>
        <w:pStyle w:val="Heading1"/>
      </w:pPr>
      <w:r>
        <w:t>三、收益量化</w:t>
      </w:r>
    </w:p>
    <w:p>
      <w:pPr>
        <w:spacing w:after="100"/>
        <w:ind w:firstLine="420"/>
      </w:pPr>
      <w:r>
        <w:rPr>
          <w:rFonts w:ascii="Arial" w:hAnsi="Arial" w:eastAsia="Heiti SC"/>
        </w:rPr>
        <w:t>以下收益分为“已有技术验证”和“业务试点目标”。正式推广前建议在一个客服业务线和一个投标业务线各跑 2 - 4 周试点，收集真实基线数据。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收益项</w:t>
            </w:r>
          </w:p>
        </w:tc>
        <w:tc>
          <w:tcPr>
            <w:tcW w:type="dxa" w:w="368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量化口径</w:t>
            </w:r>
          </w:p>
        </w:tc>
        <w:tc>
          <w:tcPr>
            <w:tcW w:type="dxa" w:w="311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客服提效</w:t>
            </w:r>
          </w:p>
        </w:tc>
        <w:tc>
          <w:tcPr>
            <w:tcW w:type="dxa" w:w="368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重复问题人工处理时间目标降低 30% - 50%。</w:t>
            </w:r>
          </w:p>
        </w:tc>
        <w:tc>
          <w:tcPr>
            <w:tcW w:type="dxa" w:w="311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通过问题分类、自动回复命中率和人工接管率统计。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投标提效</w:t>
            </w:r>
          </w:p>
        </w:tc>
        <w:tc>
          <w:tcPr>
            <w:tcW w:type="dxa" w:w="368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资质/方案/案例材料准备时间目标降低 40% 以上。</w:t>
            </w:r>
          </w:p>
        </w:tc>
        <w:tc>
          <w:tcPr>
            <w:tcW w:type="dxa" w:w="311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通过章节证据收集耗时和审核返工次数统计。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模型成本</w:t>
            </w:r>
          </w:p>
        </w:tc>
        <w:tc>
          <w:tcPr>
            <w:tcW w:type="dxa" w:w="368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已有评测显示输入 token 成本可降低 83% - 91%。</w:t>
            </w:r>
          </w:p>
        </w:tc>
        <w:tc>
          <w:tcPr>
            <w:tcW w:type="dxa" w:w="311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来源为项目 README_CN 中 OpenClaw 集成评测。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任务质量</w:t>
            </w:r>
          </w:p>
        </w:tc>
        <w:tc>
          <w:tcPr>
            <w:tcW w:type="dxa" w:w="368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已有评测显示任务完成率相对原生记忆提升约 43% - 49%。</w:t>
            </w:r>
          </w:p>
        </w:tc>
        <w:tc>
          <w:tcPr>
            <w:tcW w:type="dxa" w:w="311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说明 OpenViking 对长上下文任务有实际效果。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商业转化</w:t>
            </w:r>
          </w:p>
        </w:tc>
        <w:tc>
          <w:tcPr>
            <w:tcW w:type="dxa" w:w="368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可形成知识库底座 + AI 客服 + 投标助手 + 私有化部署的组合方案。</w:t>
            </w:r>
          </w:p>
        </w:tc>
        <w:tc>
          <w:tcPr>
            <w:tcW w:type="dxa" w:w="311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适合纳入客户 AI 赋能产品路线。</w:t>
            </w:r>
          </w:p>
        </w:tc>
      </w:tr>
    </w:tbl>
    <w:p/>
    <w:p>
      <w:pPr>
        <w:pStyle w:val="Heading1"/>
      </w:pPr>
      <w:r>
        <w:t>四、竞争优势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对比维度</w:t>
            </w:r>
          </w:p>
        </w:tc>
        <w:tc>
          <w:tcPr>
            <w:tcW w:type="dxa" w:w="328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传统 RAG/单点机器人</w:t>
            </w:r>
          </w:p>
        </w:tc>
        <w:tc>
          <w:tcPr>
            <w:tcW w:type="dxa" w:w="351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OpenViking 方案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知识组织</w:t>
            </w:r>
          </w:p>
        </w:tc>
        <w:tc>
          <w:tcPr>
            <w:tcW w:type="dxa" w:w="328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扁平向量切片，目录语义弱。</w:t>
            </w:r>
          </w:p>
        </w:tc>
        <w:tc>
          <w:tcPr>
            <w:tcW w:type="dxa" w:w="351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文件系统范式，Resources/Memories/Skills 统一组织。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上下文加载</w:t>
            </w:r>
          </w:p>
        </w:tc>
        <w:tc>
          <w:tcPr>
            <w:tcW w:type="dxa" w:w="328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容易一次性塞入大量片段。</w:t>
            </w:r>
          </w:p>
        </w:tc>
        <w:tc>
          <w:tcPr>
            <w:tcW w:type="dxa" w:w="351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L0/L1/L2 分层，按需读取。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检索效果</w:t>
            </w:r>
          </w:p>
        </w:tc>
        <w:tc>
          <w:tcPr>
            <w:tcW w:type="dxa" w:w="328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主要依赖语义相似度。</w:t>
            </w:r>
          </w:p>
        </w:tc>
        <w:tc>
          <w:tcPr>
            <w:tcW w:type="dxa" w:w="351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目录定位 + 语义搜索 + grep/glob/read。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可审计性</w:t>
            </w:r>
          </w:p>
        </w:tc>
        <w:tc>
          <w:tcPr>
            <w:tcW w:type="dxa" w:w="328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回答来源和路径不清晰。</w:t>
            </w:r>
          </w:p>
        </w:tc>
        <w:tc>
          <w:tcPr>
            <w:tcW w:type="dxa" w:w="351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URI、证据包、图片和缺口清单可追溯。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可扩展性</w:t>
            </w:r>
          </w:p>
        </w:tc>
        <w:tc>
          <w:tcPr>
            <w:tcW w:type="dxa" w:w="328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一个机器人一个知识库，复用弱。</w:t>
            </w:r>
          </w:p>
        </w:tc>
        <w:tc>
          <w:tcPr>
            <w:tcW w:type="dxa" w:w="351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同一底座可快速孵化客服、投标、法务、研发等 Agent。</w:t>
            </w:r>
          </w:p>
        </w:tc>
      </w:tr>
    </w:tbl>
    <w:p/>
    <w:p>
      <w:pPr>
        <w:pStyle w:val="Heading1"/>
      </w:pPr>
      <w:r>
        <w:t>五、落地可行性</w:t>
      </w:r>
    </w:p>
    <w:p>
      <w:pPr>
        <w:pStyle w:val="ListBullet"/>
        <w:spacing w:after="60"/>
        <w:ind w:left="425"/>
      </w:pPr>
      <w:r>
        <w:rPr>
          <w:rFonts w:ascii="Arial" w:hAnsi="Arial" w:eastAsia="Heiti SC"/>
          <w:sz w:val="20"/>
        </w:rPr>
        <w:t>技术基础已具备：项目包含 OpenViking Server、VikingBot、管理后台、客服页面、召回测试页面、投标材料 MCP 工具。</w:t>
      </w:r>
    </w:p>
    <w:p>
      <w:pPr>
        <w:pStyle w:val="ListBullet"/>
        <w:spacing w:after="60"/>
        <w:ind w:left="425"/>
      </w:pPr>
      <w:r>
        <w:rPr>
          <w:rFonts w:ascii="Arial" w:hAnsi="Arial" w:eastAsia="Heiti SC"/>
          <w:sz w:val="20"/>
        </w:rPr>
        <w:t>部署路径清晰：Docker Compose 双容器模式，配置集中在 ov.conf，可支持私有化部署。</w:t>
      </w:r>
    </w:p>
    <w:p>
      <w:pPr>
        <w:pStyle w:val="ListBullet"/>
        <w:spacing w:after="60"/>
        <w:ind w:left="425"/>
      </w:pPr>
      <w:r>
        <w:rPr>
          <w:rFonts w:ascii="Arial" w:hAnsi="Arial" w:eastAsia="Heiti SC"/>
          <w:sz w:val="20"/>
        </w:rPr>
        <w:t>客户化成本可控：不同客户主要差异在资料导入、知识目录设计、权限配置和业务提示词。</w:t>
      </w:r>
    </w:p>
    <w:p>
      <w:pPr>
        <w:pStyle w:val="ListBullet"/>
        <w:spacing w:after="60"/>
        <w:ind w:left="425"/>
      </w:pPr>
      <w:r>
        <w:rPr>
          <w:rFonts w:ascii="Arial" w:hAnsi="Arial" w:eastAsia="Heiti SC"/>
          <w:sz w:val="20"/>
        </w:rPr>
        <w:t>推广策略建议：先做内部客服/售前试点，形成数据闭环，再包装为客户 AI 赋能方案。</w:t>
      </w:r>
    </w:p>
    <w:p>
      <w:pPr>
        <w:pStyle w:val="Heading1"/>
      </w:pPr>
      <w:r>
        <w:t>六、风险应对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566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解决办法</w:t>
            </w:r>
          </w:p>
        </w:tc>
      </w:tr>
      <w:tr>
        <w:tc>
          <w:tcPr>
            <w:tcW w:type="dxa" w:w="283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知识库资料过旧</w:t>
            </w:r>
          </w:p>
        </w:tc>
        <w:tc>
          <w:tcPr>
            <w:tcW w:type="dxa" w:w="566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设置资料 owner 和更新时间；回答展示来源；低置信度不直接决策。</w:t>
            </w:r>
          </w:p>
        </w:tc>
      </w:tr>
      <w:tr>
        <w:tc>
          <w:tcPr>
            <w:tcW w:type="dxa" w:w="283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客户担心数据安全</w:t>
            </w:r>
          </w:p>
        </w:tc>
        <w:tc>
          <w:tcPr>
            <w:tcW w:type="dxa" w:w="566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支持私有化部署、账号隔离、密钥配置和访问控制。</w:t>
            </w:r>
          </w:p>
        </w:tc>
      </w:tr>
      <w:tr>
        <w:tc>
          <w:tcPr>
            <w:tcW w:type="dxa" w:w="283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AI 输出不稳定</w:t>
            </w:r>
          </w:p>
        </w:tc>
        <w:tc>
          <w:tcPr>
            <w:tcW w:type="dxa" w:w="566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投标和客服都保留人工审核/接管；关键输出必须带证据。</w:t>
            </w:r>
          </w:p>
        </w:tc>
      </w:tr>
      <w:tr>
        <w:tc>
          <w:tcPr>
            <w:tcW w:type="dxa" w:w="283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试点价值难量化</w:t>
            </w:r>
          </w:p>
        </w:tc>
        <w:tc>
          <w:tcPr>
            <w:tcW w:type="dxa" w:w="566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试点前定义基线指标：处理时长、命中率、返工率、人工接管率。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Heiti SC"/>
        <w:color w:val="7B8794"/>
        <w:sz w:val="17"/>
      </w:rPr>
      <w:t>OpenViking 通用 AI 知识库底座商业价值分析报告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Arial" w:hAnsi="Arial" w:eastAsia="Hei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 w:eastAsia="Heiti SC"/>
      <w:b/>
      <w:bCs/>
      <w:color w:val="16395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 w:eastAsia="Heiti S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 w:eastAsia="Heiti SC"/>
      <w:b/>
      <w:bCs/>
      <w:color w:val="16395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 w:eastAsia="Heiti SC"/>
      <w:b/>
      <w:color w:val="16395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