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rFonts w:ascii="Arial" w:hAnsi="Arial" w:eastAsia="Heiti SC"/>
          <w:b/>
          <w:color w:val="163957"/>
          <w:sz w:val="50"/>
        </w:rPr>
        <w:t>OpenViking 通用知识库</w:t>
      </w:r>
    </w:p>
    <w:p>
      <w:pPr>
        <w:jc w:val="center"/>
      </w:pPr>
      <w:r>
        <w:rPr>
          <w:rFonts w:ascii="Arial" w:hAnsi="Arial" w:eastAsia="Heiti SC"/>
          <w:b/>
          <w:color w:val="1F4E79"/>
          <w:sz w:val="32"/>
        </w:rPr>
        <w:t>技术说明文档</w:t>
      </w:r>
    </w:p>
    <w:p>
      <w:pPr>
        <w:spacing w:before="160"/>
        <w:jc w:val="center"/>
      </w:pPr>
      <w:r>
        <w:rPr>
          <w:rFonts w:ascii="Arial" w:hAnsi="Arial" w:eastAsia="Heiti SC"/>
          <w:color w:val="4A5568"/>
          <w:sz w:val="22"/>
        </w:rPr>
        <w:t>面向 AI 应用的文档处理、记忆处理与检索增强底座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52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文档类型</w:t>
            </w:r>
          </w:p>
        </w:tc>
        <w:tc>
          <w:tcPr>
            <w:tcW w:type="dxa" w:w="652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技术架构说明 / 实施设计说明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项目定位</w:t>
            </w:r>
          </w:p>
        </w:tc>
        <w:tc>
          <w:tcPr>
            <w:tcW w:type="dxa" w:w="652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企业通用知识库与上下文数据库，支撑客服机器人、智能投标等 AI 应用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版本口径</w:t>
            </w:r>
          </w:p>
        </w:tc>
        <w:tc>
          <w:tcPr>
            <w:tcW w:type="dxa" w:w="652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基于当前工作区源码与 docs/zh/concepts 文档梳理，生成日期 2026-04-27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核心流程</w:t>
            </w:r>
          </w:p>
        </w:tc>
        <w:tc>
          <w:tcPr>
            <w:tcW w:type="dxa" w:w="652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文档处理、语义摘要与向量化、会话记忆沉淀、意图检索、分层召回与重排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主要读者</w:t>
            </w:r>
          </w:p>
        </w:tc>
        <w:tc>
          <w:tcPr>
            <w:tcW w:type="dxa" w:w="652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9"/>
              </w:rPr>
              <w:t>评审专家、研发负责人、AI 应用集成方、运维与交付团队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A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核心判断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OpenViking 的价值不止于当前客服机器人，而在于把文档、经验、资质、历史对话和工具使用痕迹统一沉淀为可检索、可复用、可治理的知识与记忆底座。智能客服是成功案例，智能投标、售前方案、交付知识助手等场景可在同一底座上扩展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1. 文档概览</w:t>
      </w:r>
    </w:p>
    <w:p>
      <w:pPr>
        <w:spacing w:after="100"/>
        <w:ind w:firstLine="420"/>
      </w:pPr>
      <w:r>
        <w:rPr>
          <w:rFonts w:ascii="Arial" w:hAnsi="Arial" w:eastAsia="Heiti SC"/>
        </w:rPr>
        <w:t>本文说明 OpenViking 通用知识库的技术架构、关键数据结构和端到端处理流程。文档重点围绕三个问题展开：第一，外部资料如何被解析为可检索的知识树；第二，对话过程中的经验如何沉淀为长期记忆；第三，AI 应用如何基于会话意图、权限边界和多层索引完成精准检索。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8FB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设计目标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OpenViking 不是单一问答机器人，而是 AI 应用的知识与上下文基础设施：上层应用可以是客服、投标、售前、交付助手或企业内部 Copilot；底层统一处理知识入库、记忆沉淀、语义索引、检索召回和多租户隔离。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能力域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解决的问题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对应模块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文档处理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把 PDF、Word、网页、代码仓库、媒体等资料转换为结构化知识树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parse、TreeBuilder、ResourceService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语义加工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为目录和文件生成 L0/L1 摘要，并写入向量索引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SemanticQueue、SemanticProcessor、EmbeddingQueue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记忆处理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把会话、工具调用、业务经验沉淀为用户/Agent 长期记忆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Session、SessionCompressor、MemoryExtractor、MemoryDeduplicator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检索增强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依据用户问题和会话上下文，在资源、记忆、技能中分层召回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SearchService、IntentAnalyzer、HierarchicalRetriever、Rerank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治理与隔离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保证账号、用户、Agent、会话边界清晰，支持异步任务与状态跟踪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RequestContext、Auth、TaskTracker、KnowledgeDocumentRegistry</w:t>
            </w:r>
          </w:p>
        </w:tc>
      </w:tr>
    </w:tbl>
    <w:p/>
    <w:p>
      <w:pPr>
        <w:pStyle w:val="Heading2"/>
        <w:keepNext/>
      </w:pPr>
      <w:r>
        <w:t>1.1 总体架构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4F7"/>
            <w:tcBorders>
              <w:top w:val="single" w:sz="8" w:space="0" w:color="CCD6E0"/>
              <w:left w:val="single" w:sz="8" w:space="0" w:color="CCD6E0"/>
              <w:bottom w:val="single" w:sz="8" w:space="0" w:color="CCD6E0"/>
              <w:right w:val="single" w:sz="8" w:space="0" w:color="CCD6E0"/>
              <w:insideH w:val="single" w:sz="8" w:space="0" w:color="CCD6E0"/>
              <w:insideV w:val="single" w:sz="8" w:space="0" w:color="CCD6E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 w:eastAsia="Maple Mono NF CN"/>
                <w:color w:val="1F2933"/>
                <w:sz w:val="16"/>
              </w:rPr>
              <w:t>Client / AI App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|  Local Client, HTTP API, Console, MCP, Bot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v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Service Layer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|-- ResourceService: add_resource, add_skill, wait_processed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|-- SearchService: find, search, grep, glob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|-- SessionService: message, used context, commit, archive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|-- FS/Content/Relation/Pack/Debug services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v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Core Pipelines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|-- Parser -&gt; TreeBuilder -&gt; SemanticQueue -&gt; Vector Index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|-- Session -&gt; Compressor -&gt; MemoryExtractor -&gt; Dedup -&gt; Memory Store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|-- IntentAnalyzer -&gt; HierarchicalRetriever -&gt; Rerank -&gt; MatchedContext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v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Storage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|-- VikingFS / AGFS: L2 原文、目录、.abstract.md、.overview.md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|-- VectorDB: L0/L1/L2 语义索引、score、metadata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|-- Task/Registry: 入库状态、异步任务、处理遥测</w:t>
            </w:r>
          </w:p>
        </w:tc>
      </w:tr>
    </w:tbl>
    <w:p/>
    <w:p>
      <w:pPr>
        <w:spacing w:after="100"/>
        <w:ind w:firstLine="420"/>
      </w:pPr>
      <w:r>
        <w:rPr>
          <w:rFonts w:ascii="Arial" w:hAnsi="Arial" w:eastAsia="Heiti SC"/>
        </w:rPr>
        <w:t>架构采用“内容存储 + 向量索引”的双层设计。VikingFS/AGFS 保存原始内容、目录树、摘要文件和元数据；向量库保存可检索记录、层级信息和权限字段。这样既保留可审计的知识来源，又能为 AI 应用提供低延迟语义召回。</w:t>
      </w:r>
    </w:p>
    <w:p>
      <w:pPr>
        <w:pStyle w:val="Heading2"/>
        <w:keepNext/>
      </w:pPr>
      <w:r>
        <w:t>1.2 核心概念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概念</w:t>
            </w:r>
          </w:p>
        </w:tc>
        <w:tc>
          <w:tcPr>
            <w:tcW w:type="dxa" w:w="680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Viking URI</w:t>
            </w:r>
          </w:p>
        </w:tc>
        <w:tc>
          <w:tcPr>
            <w:tcW w:type="dxa" w:w="680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统一资源标识，例如 viking://resources、viking://user/memories、viking://agent/skills、viking://session/{user}/{session_id}。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ContextType</w:t>
            </w:r>
          </w:p>
        </w:tc>
        <w:tc>
          <w:tcPr>
            <w:tcW w:type="dxa" w:w="680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resource、memory、skill 三类上下文，分别对应企业资料、长期记忆和可执行/可引用技能。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ContextLevel</w:t>
            </w:r>
          </w:p>
        </w:tc>
        <w:tc>
          <w:tcPr>
            <w:tcW w:type="dxa" w:w="680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L0 abstract、L1 overview、L2 detail/content。L0 用于快速筛选，L1 用于目录导航与重排，L2 用于最终引用和回答。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RequestContext</w:t>
            </w:r>
          </w:p>
        </w:tc>
        <w:tc>
          <w:tcPr>
            <w:tcW w:type="dxa" w:w="680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携带 account/user/agent/role，用于服务鉴权、目录初始化、向量过滤和多租户隔离。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SemanticMsg</w:t>
            </w:r>
          </w:p>
        </w:tc>
        <w:tc>
          <w:tcPr>
            <w:tcW w:type="dxa" w:w="680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语义加工队列消息，描述待处理 URI、上下文类型、目标 URI、处理状态、锁和遥测信息。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MatchedContext</w:t>
            </w:r>
          </w:p>
        </w:tc>
        <w:tc>
          <w:tcPr>
            <w:tcW w:type="dxa" w:w="6803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检索返回的知识命中结果，包含 URI、层级、分数、来源和可选 provenance。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2. 文档处理流程</w:t>
      </w:r>
    </w:p>
    <w:p>
      <w:pPr>
        <w:spacing w:after="100"/>
        <w:ind w:firstLine="420"/>
      </w:pPr>
      <w:r>
        <w:rPr>
          <w:rFonts w:ascii="Arial" w:hAnsi="Arial" w:eastAsia="Heiti SC"/>
        </w:rPr>
        <w:t>文档处理流程负责把外部知识源转化为 OpenViking 内部可检索、可治理的知识树。该流程采用同步接收、异步语义加工的架构：用户上传或指定远程资源后，系统先完成格式解析与临时目录构建，再通过队列完成摘要、向量化和索引更新。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4F7"/>
            <w:tcBorders>
              <w:top w:val="single" w:sz="8" w:space="0" w:color="CCD6E0"/>
              <w:left w:val="single" w:sz="8" w:space="0" w:color="CCD6E0"/>
              <w:bottom w:val="single" w:sz="8" w:space="0" w:color="CCD6E0"/>
              <w:right w:val="single" w:sz="8" w:space="0" w:color="CCD6E0"/>
              <w:insideH w:val="single" w:sz="8" w:space="0" w:color="CCD6E0"/>
              <w:insideV w:val="single" w:sz="8" w:space="0" w:color="CCD6E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 w:eastAsia="Maple Mono NF CN"/>
                <w:color w:val="1F2933"/>
                <w:sz w:val="16"/>
              </w:rPr>
              <w:t>用户/系统提交资源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/api/v1/resources 或 Local Client add_resource()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ResourceService 注册知识文档和任务状态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Parser Registry 选择解析器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Parser 在临时 VikingFS 中生成目录树和 L2 内容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TreeBuilder 确定最终 Viking URI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SemanticQueue 投递 SemanticMsg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SemanticProcessor 自底向上生成 L0/L1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VectorDB 写入语义索引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KnowledgeDocumentRegistry 更新状态</w:t>
            </w:r>
          </w:p>
        </w:tc>
      </w:tr>
    </w:tbl>
    <w:p/>
    <w:p>
      <w:pPr>
        <w:pStyle w:val="Heading2"/>
        <w:keepNext/>
      </w:pPr>
      <w:r>
        <w:t>2.1 资源接入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HTTP 接入：/api/v1/resources 支持 path、temp_file_id、to、parent、folder_path、instruction、wait、timeout、include/exclude、watch_interval 等参数。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临时上传：/api/v1/resources/temp_upload 先写入上传目录，再由 temp_file_id 转为可处理的本地临时文件。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本地接入：Python Local Client 和 Sync/Async HTTP Client 对上层业务隐藏路由细节，常用方法包括 add_resource、add_skill、wait_processed、find、search、read、abstract、overview。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远程资源保护：HTTP 模式默认要求远程资源来源，只有 temp_file_id 场景允许解析上传后的本地临时路径，降低服务端任意文件读取风险。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5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输入类型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解析结果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5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Markdown / TXT / HTML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保持标题层级、正文块、链接和基础结构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适合作为知识库基础文档</w:t>
            </w:r>
          </w:p>
        </w:tc>
      </w:tr>
      <w:tr>
        <w:tc>
          <w:tcPr>
            <w:tcW w:type="dxa" w:w="175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PDF / Word / Excel / PowerPoint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转换为可读文本、表格或页面结构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适合制度、方案、投标资料、产品手册</w:t>
            </w:r>
          </w:p>
        </w:tc>
      </w:tr>
      <w:tr>
        <w:tc>
          <w:tcPr>
            <w:tcW w:type="dxa" w:w="175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代码仓库 / 目录 / ZIP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保留目录结构，按文件类型识别代码与文档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支持源码知识库、SDK 文档、工程经验沉淀</w:t>
            </w:r>
          </w:p>
        </w:tc>
      </w:tr>
      <w:tr>
        <w:tc>
          <w:tcPr>
            <w:tcW w:type="dxa" w:w="175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图片 / 音频 / 视频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生成多模态摘要并映射到资源目录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用于截图、录屏、会议资料等非纯文本信息</w:t>
            </w:r>
          </w:p>
        </w:tc>
      </w:tr>
      <w:tr>
        <w:tc>
          <w:tcPr>
            <w:tcW w:type="dxa" w:w="175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飞书 / EPUB / 旧版文档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通过专用解析器或转换器进入统一树结构</w:t>
            </w:r>
          </w:p>
        </w:tc>
        <w:tc>
          <w:tcPr>
            <w:tcW w:type="dxa" w:w="317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便于企业已有资料迁移</w:t>
            </w:r>
          </w:p>
        </w:tc>
      </w:tr>
    </w:tbl>
    <w:p/>
    <w:p>
      <w:pPr>
        <w:pStyle w:val="Heading2"/>
        <w:keepNext/>
      </w:pPr>
      <w:r>
        <w:t>2.2 Parser 与切分策略</w:t>
      </w:r>
    </w:p>
    <w:p>
      <w:pPr>
        <w:spacing w:after="100"/>
        <w:ind w:firstLine="420"/>
      </w:pPr>
      <w:r>
        <w:rPr>
          <w:rFonts w:ascii="Arial" w:hAnsi="Arial" w:eastAsia="Heiti SC"/>
        </w:rPr>
        <w:t>Parser 的职责是格式转换和结构化切分，不承担 LLM 摘要生成。这个边界很重要：解析阶段尽可能确定、可重试、低成本；语义阶段再异步调用模型，避免大文件入库阻塞和内存压力。</w:t>
      </w:r>
    </w:p>
    <w:p>
      <w:pPr>
        <w:pStyle w:val="ListNumber"/>
        <w:spacing w:after="60"/>
        <w:ind w:left="425"/>
      </w:pPr>
      <w:r>
        <w:rPr>
          <w:rFonts w:ascii="Arial" w:hAnsi="Arial" w:eastAsia="Heiti SC"/>
          <w:sz w:val="20"/>
        </w:rPr>
        <w:t>Parser Registry 根据文件扩展名、资源类型和参数选择解析器，例如 markdown.py、pdf.py、word.py、excel.py、powerpoint.py、directory.py、zip_parser.py、repository 相关解析逻辑等。</w:t>
      </w:r>
    </w:p>
    <w:p>
      <w:pPr>
        <w:pStyle w:val="ListNumber"/>
        <w:spacing w:after="60"/>
        <w:ind w:left="425"/>
      </w:pPr>
      <w:r>
        <w:rPr>
          <w:rFonts w:ascii="Arial" w:hAnsi="Arial" w:eastAsia="Heiti SC"/>
          <w:sz w:val="20"/>
        </w:rPr>
        <w:t>解析器把原始资料写入临时 VikingFS，形成一个文档根目录，目录内包含可读 L2 内容文件和必要的结构文件。</w:t>
      </w:r>
    </w:p>
    <w:p>
      <w:pPr>
        <w:pStyle w:val="ListNumber"/>
        <w:spacing w:after="60"/>
        <w:ind w:left="425"/>
      </w:pPr>
      <w:r>
        <w:rPr>
          <w:rFonts w:ascii="Arial" w:hAnsi="Arial" w:eastAsia="Heiti SC"/>
          <w:sz w:val="20"/>
        </w:rPr>
        <w:t>长文档按标题、章节、token 预算和文件类型切分；小片段会合并，过大片段会继续拆分，目标是在保持语义完整性的同时控制后续摘要和向量化成本。</w:t>
      </w:r>
    </w:p>
    <w:p>
      <w:pPr>
        <w:pStyle w:val="ListNumber"/>
        <w:spacing w:after="60"/>
        <w:ind w:left="425"/>
      </w:pPr>
      <w:r>
        <w:rPr>
          <w:rFonts w:ascii="Arial" w:hAnsi="Arial" w:eastAsia="Heiti SC"/>
          <w:sz w:val="20"/>
        </w:rPr>
        <w:t>代码类资料会识别语言和文件类型，必要时结合 AST、LLM 或 AST+LLM 模式生成更有结构的代码摘要。</w:t>
      </w:r>
    </w:p>
    <w:p>
      <w:pPr>
        <w:pStyle w:val="Heading2"/>
        <w:keepNext/>
      </w:pPr>
      <w:r>
        <w:t>2.3 TreeBuilder 与 URI 落位</w:t>
      </w:r>
    </w:p>
    <w:p>
      <w:pPr>
        <w:spacing w:after="100"/>
        <w:ind w:firstLine="420"/>
      </w:pPr>
      <w:r>
        <w:rPr>
          <w:rFonts w:ascii="Arial" w:hAnsi="Arial" w:eastAsia="Heiti SC"/>
        </w:rPr>
        <w:t>TreeBuilder 读取临时目录中的唯一文档根节点，清洗文件名，确定最终 URI。如果用户指定 to，则写入精确目标；如果指定 parent，则在父目录下创建资源；否则根据 scope 自动落到 viking://resources、viking://user 或 viking://agent。媒体资源会根据类型进入对应资源空间。若目标名称冲突，系统会自动追加 _1、_2 等后缀生成唯一 URI。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A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工程价值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临时目录 + 最终 URI 的两阶段设计，使解析失败不会污染正式知识库；同时也为增量同步、生命周期锁、watch 任务和处理状态回滚保留了清晰边界。</w:t>
            </w:r>
          </w:p>
        </w:tc>
      </w:tr>
    </w:tbl>
    <w:p/>
    <w:p>
      <w:pPr>
        <w:pStyle w:val="Heading2"/>
        <w:keepNext/>
      </w:pPr>
      <w:r>
        <w:t>2.4 语义加工与向量化</w:t>
      </w:r>
    </w:p>
    <w:p>
      <w:pPr>
        <w:spacing w:after="100"/>
        <w:ind w:firstLine="420"/>
      </w:pPr>
      <w:r>
        <w:rPr>
          <w:rFonts w:ascii="Arial" w:hAnsi="Arial" w:eastAsia="Heiti SC"/>
        </w:rPr>
        <w:t>资源树落位后，SemanticQueue 投递 SemanticMsg。SemanticProcessor 以目录为单位自底向上工作：先为叶子文件生成摘要，再汇总子目录摘要，生成当前目录的 .overview.md 和 .abstract.md，最后写入向量索引。系统支持增量更新：当 target_uri 已存在且与当前临时 URI 不同，会进入增量同步模式，只处理新增、修改和删除部分。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40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40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检索作用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L0 .abstract.md</w:t>
            </w:r>
          </w:p>
        </w:tc>
        <w:tc>
          <w:tcPr>
            <w:tcW w:type="dxa" w:w="340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高度压缩的节点摘要，约百 token 量级</w:t>
            </w:r>
          </w:p>
        </w:tc>
        <w:tc>
          <w:tcPr>
            <w:tcW w:type="dxa" w:w="340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用于快速向量召回、候选粗筛、低成本相关性判断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L1 .overview.md</w:t>
            </w:r>
          </w:p>
        </w:tc>
        <w:tc>
          <w:tcPr>
            <w:tcW w:type="dxa" w:w="340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目录级概览，汇总子节点摘要和结构信息</w:t>
            </w:r>
          </w:p>
        </w:tc>
        <w:tc>
          <w:tcPr>
            <w:tcW w:type="dxa" w:w="340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用于层级导航、重排、回答前定位上下文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L2 原始内容</w:t>
            </w:r>
          </w:p>
        </w:tc>
        <w:tc>
          <w:tcPr>
            <w:tcW w:type="dxa" w:w="340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文档正文、代码、表格转换文本、媒体摘要或原文件引用</w:t>
            </w:r>
          </w:p>
        </w:tc>
        <w:tc>
          <w:tcPr>
            <w:tcW w:type="dxa" w:w="340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用于最终引用、证据展开和生成答案</w:t>
            </w:r>
          </w:p>
        </w:tc>
      </w:tr>
    </w:tbl>
    <w:p/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并发控制：SemanticProcessor 通过 max_concurrent_llm 控制摘要生成并发，避免模型服务过载。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熔断与重试：模型 API 出现临时错误时会重新入队，永久错误会记录失败并更新文档处理状态。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生命周期锁：资源同步与语义处理可持有 subtree lock，降低并发写入导致的不一致风险。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状态可观测：ResourceService、KnowledgeDocumentRegistry、QueueManager 和 telemetry 共同记录入库、等待、失败、队列耗时等指标。</w:t>
      </w:r>
    </w:p>
    <w:p>
      <w:r>
        <w:br w:type="page"/>
      </w:r>
    </w:p>
    <w:p>
      <w:pPr>
        <w:pStyle w:val="Heading1"/>
        <w:keepNext/>
      </w:pPr>
      <w:r>
        <w:t>3. 记忆处理流程</w:t>
      </w:r>
    </w:p>
    <w:p>
      <w:pPr>
        <w:spacing w:after="100"/>
        <w:ind w:firstLine="420"/>
      </w:pPr>
      <w:r>
        <w:rPr>
          <w:rFonts w:ascii="Arial" w:hAnsi="Arial" w:eastAsia="Heiti SC"/>
        </w:rPr>
        <w:t>记忆处理将一次次 AI 交互转化为可长期复用的用户画像、偏好、业务实体、事件、Agent 案例、工具模式和技能经验。它解决的问题是：AI 应用不能只依赖静态资料，还需要从真实服务和业务执行中持续学习。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4F7"/>
            <w:tcBorders>
              <w:top w:val="single" w:sz="8" w:space="0" w:color="CCD6E0"/>
              <w:left w:val="single" w:sz="8" w:space="0" w:color="CCD6E0"/>
              <w:bottom w:val="single" w:sz="8" w:space="0" w:color="CCD6E0"/>
              <w:right w:val="single" w:sz="8" w:space="0" w:color="CCD6E0"/>
              <w:insideH w:val="single" w:sz="8" w:space="0" w:color="CCD6E0"/>
              <w:insideV w:val="single" w:sz="8" w:space="0" w:color="CCD6E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 w:eastAsia="Maple Mono NF CN"/>
                <w:color w:val="1F2933"/>
                <w:sz w:val="16"/>
              </w:rPr>
              <w:t>Session 创建和交互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add_message 写入用户/助手/工具消息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used 记录本轮引用过的上下文或技能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commit_async 立即归档当前消息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后台任务生成 archive L0/L1 摘要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MemoryExtractor 抽取长期记忆候选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向量预筛 + MemoryDeduplicator 去重/合并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写入 viking://user/memories 或 viking://agent/memories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更新 active_count 与 .done/.failed 状态</w:t>
            </w:r>
          </w:p>
        </w:tc>
      </w:tr>
    </w:tbl>
    <w:p/>
    <w:p>
      <w:pPr>
        <w:pStyle w:val="Heading2"/>
        <w:keepNext/>
      </w:pPr>
      <w:r>
        <w:t>3.1 Session 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关键动作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技术要点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创建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SessionService 创建 session 目录和 .meta.json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URI 形如 viking://session/{user_space}/{session_id}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交互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add_message 追加 TextPart、ContextPart、ToolPart 等消息片段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消息保存为 JSONL，便于增量读取与审计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引用记录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used 记录本轮使用的资源、记忆或技能 URI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commit 后可更新 active_count，支持热度治理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提交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commit_async 将当前消息移入 history/archive_xxx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同步阶段快速返回 task_id，异步阶段处理摘要和记忆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归档完成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写入 .abstract.md、.overview.md、.done</w:t>
            </w:r>
          </w:p>
        </w:tc>
        <w:tc>
          <w:tcPr>
            <w:tcW w:type="dxa" w:w="385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失败时写 .failed.json，并阻断后续依赖归档以避免链路错乱</w:t>
            </w:r>
          </w:p>
        </w:tc>
      </w:tr>
    </w:tbl>
    <w:p/>
    <w:p>
      <w:pPr>
        <w:pStyle w:val="Heading2"/>
        <w:keepNext/>
      </w:pPr>
      <w:r>
        <w:t>3.2 两阶段提交机制</w:t>
      </w:r>
    </w:p>
    <w:p>
      <w:pPr>
        <w:spacing w:after="100"/>
        <w:ind w:firstLine="420"/>
      </w:pPr>
      <w:r>
        <w:rPr>
          <w:rFonts w:ascii="Arial" w:hAnsi="Arial" w:eastAsia="Heiti SC"/>
        </w:rPr>
        <w:t>Session commit 分为同步和异步两阶段。同步阶段不调用 LLM：它只递增 compression_index，将消息写入 archive_xxx/messages.jsonl，清空当前消息，并立即返回 task_id。异步阶段再生成 archive 摘要、抽取长期记忆、更新活跃度和写完成标记。这种设计让对话主链路不被模型摘要耗时拖慢。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提交阶段</w:t>
            </w:r>
          </w:p>
        </w:tc>
        <w:tc>
          <w:tcPr>
            <w:tcW w:type="dxa" w:w="232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221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失败处理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Phase 1 同步归档</w:t>
            </w:r>
          </w:p>
        </w:tc>
        <w:tc>
          <w:tcPr>
            <w:tcW w:type="dxa" w:w="232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当前未提交消息、使用记录快照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archive URI、task_id、当前消息清空</w:t>
            </w:r>
          </w:p>
        </w:tc>
        <w:tc>
          <w:tcPr>
            <w:tcW w:type="dxa" w:w="221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若无消息则返回 archived=false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Phase 2 异步压缩</w:t>
            </w:r>
          </w:p>
        </w:tc>
        <w:tc>
          <w:tcPr>
            <w:tcW w:type="dxa" w:w="232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archive messages、上一归档 overview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.abstract.md、.overview.md、.meta.json</w:t>
            </w:r>
          </w:p>
        </w:tc>
        <w:tc>
          <w:tcPr>
            <w:tcW w:type="dxa" w:w="221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写 .failed.json，后续归档可检测阻断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长期记忆抽取</w:t>
            </w:r>
          </w:p>
        </w:tc>
        <w:tc>
          <w:tcPr>
            <w:tcW w:type="dxa" w:w="232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归档消息、工具调用、上下文引用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CandidateMemory 列表</w:t>
            </w:r>
          </w:p>
        </w:tc>
        <w:tc>
          <w:tcPr>
            <w:tcW w:type="dxa" w:w="221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抽取失败不影响已归档原始记录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去重与合并</w:t>
            </w:r>
          </w:p>
        </w:tc>
        <w:tc>
          <w:tcPr>
            <w:tcW w:type="dxa" w:w="232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候选记忆 + 相似历史记忆</w:t>
            </w:r>
          </w:p>
        </w:tc>
        <w:tc>
          <w:tcPr>
            <w:tcW w:type="dxa" w:w="238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create / merge / skip / delete 决策</w:t>
            </w:r>
          </w:p>
        </w:tc>
        <w:tc>
          <w:tcPr>
            <w:tcW w:type="dxa" w:w="221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保留可审计的候选与处理日志</w:t>
            </w:r>
          </w:p>
        </w:tc>
      </w:tr>
    </w:tbl>
    <w:p/>
    <w:p>
      <w:pPr>
        <w:pStyle w:val="Heading2"/>
        <w:keepNext/>
      </w:pPr>
      <w:r>
        <w:t>3.3 记忆类别与作用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02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归属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1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profile</w:t>
            </w:r>
          </w:p>
        </w:tc>
        <w:tc>
          <w:tcPr>
            <w:tcW w:type="dxa" w:w="102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用户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岗位、部门、职责、常用系统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形成稳定用户画像</w:t>
            </w:r>
          </w:p>
        </w:tc>
      </w:tr>
      <w:tr>
        <w:tc>
          <w:tcPr>
            <w:tcW w:type="dxa" w:w="1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preferences</w:t>
            </w:r>
          </w:p>
        </w:tc>
        <w:tc>
          <w:tcPr>
            <w:tcW w:type="dxa" w:w="102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用户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回答风格、格式偏好、常用语言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提升个性化交互体验</w:t>
            </w:r>
          </w:p>
        </w:tc>
      </w:tr>
      <w:tr>
        <w:tc>
          <w:tcPr>
            <w:tcW w:type="dxa" w:w="1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entities</w:t>
            </w:r>
          </w:p>
        </w:tc>
        <w:tc>
          <w:tcPr>
            <w:tcW w:type="dxa" w:w="102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用户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客户、项目、产品、合同、酒店集团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让后续检索可关联业务实体</w:t>
            </w:r>
          </w:p>
        </w:tc>
      </w:tr>
      <w:tr>
        <w:tc>
          <w:tcPr>
            <w:tcW w:type="dxa" w:w="1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events</w:t>
            </w:r>
          </w:p>
        </w:tc>
        <w:tc>
          <w:tcPr>
            <w:tcW w:type="dxa" w:w="102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用户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会议结论、重要交付节点、历史问题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保留业务时间线</w:t>
            </w:r>
          </w:p>
        </w:tc>
      </w:tr>
      <w:tr>
        <w:tc>
          <w:tcPr>
            <w:tcW w:type="dxa" w:w="1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cases</w:t>
            </w:r>
          </w:p>
        </w:tc>
        <w:tc>
          <w:tcPr>
            <w:tcW w:type="dxa" w:w="102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Agent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客服问题闭环、投标案例、方案模板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复用成功实践</w:t>
            </w:r>
          </w:p>
        </w:tc>
      </w:tr>
      <w:tr>
        <w:tc>
          <w:tcPr>
            <w:tcW w:type="dxa" w:w="1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patterns</w:t>
            </w:r>
          </w:p>
        </w:tc>
        <w:tc>
          <w:tcPr>
            <w:tcW w:type="dxa" w:w="102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Agent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常见处理策略、排障路径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沉淀可复用工作方法</w:t>
            </w:r>
          </w:p>
        </w:tc>
      </w:tr>
      <w:tr>
        <w:tc>
          <w:tcPr>
            <w:tcW w:type="dxa" w:w="1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tools</w:t>
            </w:r>
          </w:p>
        </w:tc>
        <w:tc>
          <w:tcPr>
            <w:tcW w:type="dxa" w:w="102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Agent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工具调用参数、成功率、耗时、token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优化工具选择和调用策略</w:t>
            </w:r>
          </w:p>
        </w:tc>
      </w:tr>
      <w:tr>
        <w:tc>
          <w:tcPr>
            <w:tcW w:type="dxa" w:w="130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skills</w:t>
            </w:r>
          </w:p>
        </w:tc>
        <w:tc>
          <w:tcPr>
            <w:tcW w:type="dxa" w:w="1020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Agent</w:t>
            </w:r>
          </w:p>
        </w:tc>
        <w:tc>
          <w:tcPr>
            <w:tcW w:type="dxa" w:w="300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可迁移技能说明、触发条件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把经验升级为可复用能力</w:t>
            </w:r>
          </w:p>
        </w:tc>
      </w:tr>
    </w:tbl>
    <w:p/>
    <w:p>
      <w:pPr>
        <w:pStyle w:val="Heading2"/>
        <w:keepNext/>
      </w:pPr>
      <w:r>
        <w:t>3.4 去重、合并与热度治理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MemoryExtractor 先把归档消息转为结构化候选，工具调用会被格式化为 JSON 片段，便于模型理解输入、输出、耗时和调用结果。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MemoryDeduplicator 会基于类别决定目标空间：用户类记忆进入 user memories，Agent 类记忆进入 agent memories。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系统先通过向量相似度预筛历史记忆，再交由 LLM 判断是否创建新记忆、合并旧记忆、跳过候选或删除冗余记忆。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长记忆会按 memory_chunk_chars 和 overlap 切块，既保留完整 L2 记录，也让局部内容能被检索命中。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active_count 会随着会话引用更新，后续可用于记忆归档、冷热分层和低价值记忆治理。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BF4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对 AI 应用的意义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客服机器人通过记忆沉淀常见问题、客户环境和处理经验；智能投标则可以沉淀历史投标策略、资质使用经验、行业客户关注点和方案复用模式。二者共享同一套记忆管线。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4. 检索流程</w:t>
      </w:r>
    </w:p>
    <w:p>
      <w:pPr>
        <w:spacing w:after="100"/>
        <w:ind w:firstLine="420"/>
      </w:pPr>
      <w:r>
        <w:rPr>
          <w:rFonts w:ascii="Arial" w:hAnsi="Arial" w:eastAsia="Heiti SC"/>
        </w:rPr>
        <w:t>OpenViking 的检索并非简单向量搜索，而是结合会话上下文、检索意图、知识类型、层级结构和重排策略的分层召回流程。上层应用可按场景选择 find 或 search：find 适合低延迟单次查询，search 适合结合会话语义的复杂任务。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是否使用会话</w:t>
            </w:r>
          </w:p>
        </w:tc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是否做意图分析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适用场景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find(query)</w:t>
            </w:r>
          </w:p>
        </w:tc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否</w:t>
            </w:r>
          </w:p>
        </w:tc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否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直接在指定 target_uri 或全局空间中做语义查找，适合搜索框、引用定位、快速问答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search(query, session_id)</w:t>
            </w:r>
          </w:p>
        </w:tc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可选</w:t>
            </w:r>
          </w:p>
        </w:tc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是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读取会话摘要和最近消息，生成多条 TypedQuery，适合多轮对话和复杂业务任务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grep(pattern)</w:t>
            </w:r>
          </w:p>
        </w:tc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否</w:t>
            </w:r>
          </w:p>
        </w:tc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否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基于文本模式查找原文，适合精确关键字、编号、配置项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glob(pattern)</w:t>
            </w:r>
          </w:p>
        </w:tc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否</w:t>
            </w:r>
          </w:p>
        </w:tc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否</w:t>
            </w:r>
          </w:p>
        </w:tc>
        <w:tc>
          <w:tcPr>
            <w:tcW w:type="dxa" w:w="351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基于路径模式查找文件或目录，适合结构浏览和批量处理</w:t>
            </w:r>
          </w:p>
        </w:tc>
      </w:tr>
    </w:tbl>
    <w:p/>
    <w:p>
      <w:pPr>
        <w:pStyle w:val="Heading2"/>
        <w:keepNext/>
      </w:pPr>
      <w:r>
        <w:t>4.1 search 的意图分析</w:t>
      </w:r>
    </w:p>
    <w:p>
      <w:pPr>
        <w:spacing w:after="100"/>
        <w:ind w:firstLine="420"/>
      </w:pPr>
      <w:r>
        <w:rPr>
          <w:rFonts w:ascii="Arial" w:hAnsi="Arial" w:eastAsia="Heiti SC"/>
        </w:rPr>
        <w:t>SearchService 在存在 session 时会调用 session.get_context_for_search(query)，将压缩后的会话摘要、最近消息和当前问题交给 IntentAnalyzer。IntentAnalyzer 输出 0 到 5 条 TypedQuery，每条包含 query、context_type、intent 和 priority。这样一个用户问题可以被拆成资源查询、记忆查询和技能查询。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4F7"/>
            <w:tcBorders>
              <w:top w:val="single" w:sz="8" w:space="0" w:color="CCD6E0"/>
              <w:left w:val="single" w:sz="8" w:space="0" w:color="CCD6E0"/>
              <w:bottom w:val="single" w:sz="8" w:space="0" w:color="CCD6E0"/>
              <w:right w:val="single" w:sz="8" w:space="0" w:color="CCD6E0"/>
              <w:insideH w:val="single" w:sz="8" w:space="0" w:color="CCD6E0"/>
              <w:insideV w:val="single" w:sz="8" w:space="0" w:color="CCD6E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 w:eastAsia="Maple Mono NF CN"/>
                <w:color w:val="1F2933"/>
                <w:sz w:val="16"/>
              </w:rPr>
              <w:t>用户问题: “帮我准备某酒店集团的智能投标方案”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>IntentAnalyzer 可能拆解为: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1. RESOURCE: 查找产品能力、技术方案、资质材料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2. MEMORY: 查找该客户或同类客户历史偏好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3. MEMORY: 查找历史投标成功案例与失败风险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4. SKILL: 查找可用的标书生成或合规检查技能</w:t>
            </w:r>
          </w:p>
        </w:tc>
      </w:tr>
    </w:tbl>
    <w:p/>
    <w:p>
      <w:pPr>
        <w:pStyle w:val="Heading2"/>
        <w:keepNext/>
      </w:pPr>
      <w:r>
        <w:t>4.2 分层召回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4F7"/>
            <w:tcBorders>
              <w:top w:val="single" w:sz="8" w:space="0" w:color="CCD6E0"/>
              <w:left w:val="single" w:sz="8" w:space="0" w:color="CCD6E0"/>
              <w:bottom w:val="single" w:sz="8" w:space="0" w:color="CCD6E0"/>
              <w:right w:val="single" w:sz="8" w:space="0" w:color="CCD6E0"/>
              <w:insideH w:val="single" w:sz="8" w:space="0" w:color="CCD6E0"/>
              <w:insideV w:val="single" w:sz="8" w:space="0" w:color="CCD6E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 w:eastAsia="Maple Mono NF CN"/>
                <w:color w:val="1F2933"/>
                <w:sz w:val="16"/>
              </w:rPr>
              <w:t>TypedQuery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根据 context_type 选择根目录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RESOURCE: viking://resources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MEMORY:   viking://user/memories, viking://agent/memories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   SKILL:    viking://agent/skills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全局向量召回 L0/L1 候选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合并起点并按 score / priority 排序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进入目录层级，读取 abstract / overview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递归扩展相关子节点和 related_uri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Rerank 候选</w:t>
            </w:r>
            <w:r>
              <w:br/>
            </w:r>
            <w:r>
              <w:rPr>
                <w:rFonts w:ascii="Arial" w:hAnsi="Arial" w:eastAsia="Maple Mono NF CN"/>
                <w:color w:val="1F2933"/>
                <w:sz w:val="16"/>
              </w:rPr>
              <w:t xml:space="preserve">  -&gt; 返回 MatchedContext</w:t>
            </w:r>
          </w:p>
        </w:tc>
      </w:tr>
    </w:tbl>
    <w:p/>
    <w:p>
      <w:pPr>
        <w:spacing w:after="100"/>
        <w:ind w:firstLine="420"/>
      </w:pPr>
      <w:r>
        <w:rPr>
          <w:rFonts w:ascii="Arial" w:hAnsi="Arial" w:eastAsia="Heiti SC"/>
        </w:rPr>
        <w:t>层级检索的优势是既能快速发现相关知识区域，又能沿目录结构向下展开到更精确的原文片段。对大型资料库而言，直接把所有 L2 内容做一次平铺召回容易丢失结构；OpenViking 用 L0/L1 先定位，再进入 L2 展开，能兼顾速度、可解释性和召回质量。</w:t>
      </w:r>
    </w:p>
    <w:p>
      <w:pPr>
        <w:pStyle w:val="Heading2"/>
        <w:keepNext/>
      </w:pPr>
      <w:r>
        <w:t>4.3 重排与回退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若配置了 rerank provider，系统会对候选文本执行批量重排，提升与当前问题的语义贴合度。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若重排服务异常或未配置，检索会回退到向量分数，保证服务可用性。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score_threshold 和 limit/node_limit 可控制召回质量和数量；include_provenance 可在 API 返回中携带来源线索。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related_uri 支持知识节点间的显式关联，便于从命中文档跳转到案例、资质、流程或相关技能。</w:t>
      </w:r>
    </w:p>
    <w:p>
      <w:pPr>
        <w:pStyle w:val="Heading2"/>
        <w:keepNext/>
      </w:pPr>
      <w:r>
        <w:t>4.4 检索结果在应用中的使用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应用</w:t>
            </w:r>
          </w:p>
        </w:tc>
        <w:tc>
          <w:tcPr>
            <w:tcW w:type="dxa" w:w="374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典型检索动作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生成侧使用方式</w:t>
            </w:r>
          </w:p>
        </w:tc>
      </w:tr>
      <w:tr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客服机器人</w:t>
            </w:r>
          </w:p>
        </w:tc>
        <w:tc>
          <w:tcPr>
            <w:tcW w:type="dxa" w:w="374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从产品手册、FAQ、历史工单和客户记忆中召回答案依据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把命中上下文作为 RAG 引用，减少幻觉并给出可追溯回答</w:t>
            </w:r>
          </w:p>
        </w:tc>
      </w:tr>
      <w:tr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智能投标</w:t>
            </w:r>
          </w:p>
        </w:tc>
        <w:tc>
          <w:tcPr>
            <w:tcW w:type="dxa" w:w="374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召回招标要求、资质材料、成功案例、行业方案和风险条款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生成章节草稿、检查漏项、匹配资质和历史素材</w:t>
            </w:r>
          </w:p>
        </w:tc>
      </w:tr>
      <w:tr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售前方案助手</w:t>
            </w:r>
          </w:p>
        </w:tc>
        <w:tc>
          <w:tcPr>
            <w:tcW w:type="dxa" w:w="374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召回产品能力、行业客户案例和交付边界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组合方案结构，输出面向客户的解决方案</w:t>
            </w:r>
          </w:p>
        </w:tc>
      </w:tr>
      <w:tr>
        <w:tc>
          <w:tcPr>
            <w:tcW w:type="dxa" w:w="1474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交付知识助手</w:t>
            </w:r>
          </w:p>
        </w:tc>
        <w:tc>
          <w:tcPr>
            <w:tcW w:type="dxa" w:w="3742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召回实施手册、故障排查、项目复盘和工具经验</w:t>
            </w:r>
          </w:p>
        </w:tc>
        <w:tc>
          <w:tcPr>
            <w:tcW w:type="dxa" w:w="328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辅助现场人员定位问题并复用历史解决方案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5. 存储、权限与多租户</w:t>
      </w:r>
    </w:p>
    <w:p>
      <w:pPr>
        <w:spacing w:after="100"/>
        <w:ind w:firstLine="420"/>
      </w:pPr>
      <w:r>
        <w:rPr>
          <w:rFonts w:ascii="Arial" w:hAnsi="Arial" w:eastAsia="Heiti SC"/>
        </w:rPr>
        <w:t>OpenViking 在存储层把内容、索引、身份边界和任务状态拆开管理。内容侧使用 VikingFS/AGFS 保存可读文件树；索引侧使用向量库保存摘要、分数和 metadata；服务侧通过 RequestContext 将账号、用户、Agent 和角色传递到每次读写与检索操作中。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空间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URI 示例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可见性与用途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资源空间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viking://resources/...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账号内共享知识资料，适合产品手册、制度、方案、资质库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用户记忆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viking://user/memories/...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按用户隔离的画像、偏好、实体和事件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Agent 记忆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viking://agent/memories/...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按 Agent 或 user+agent 范围隔离的案例、模式、工具和技能经验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技能空间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viking://agent/skills/...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Agent 可引用或执行的能力描述</w:t>
            </w:r>
          </w:p>
        </w:tc>
      </w:tr>
      <w:tr>
        <w:tc>
          <w:tcPr>
            <w:tcW w:type="dxa" w:w="141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会话空间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viking://session/{user}/{session_id}/...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单会话消息、归档、摘要和任务状态</w:t>
            </w:r>
          </w:p>
        </w:tc>
      </w:tr>
    </w:tbl>
    <w:p/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HTTP Client 请求头包含 X-API-Key、X-OpenViking-Account、X-OpenViking-User、X-OpenViking-Agent，用于服务端身份解析。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resources 默认 owner_space 为空，表示账号共享；user、agent、session URI 会根据 UserIdentifier 派生 owner_space。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正式多租户模式可通过 root_api_key 和身份头启用；默认模式也保留 default account/user/agent 以便本地和嵌入式部署。</w:t>
      </w:r>
    </w:p>
    <w:p>
      <w:pPr>
        <w:pStyle w:val="ListBullet"/>
        <w:spacing w:after="60"/>
        <w:ind w:left="425"/>
      </w:pPr>
      <w:r>
        <w:rPr>
          <w:rFonts w:ascii="Arial" w:hAnsi="Arial" w:eastAsia="Heiti SC"/>
          <w:sz w:val="20"/>
        </w:rPr>
        <w:t>向量索引写入 account_id、owner_space、context_type、category、level 等字段，检索时以身份和空间过滤，避免跨用户或跨 Agent 泄漏。</w:t>
      </w:r>
    </w:p>
    <w:p>
      <w:r>
        <w:br w:type="page"/>
      </w:r>
    </w:p>
    <w:p>
      <w:pPr>
        <w:pStyle w:val="Heading1"/>
        <w:keepNext/>
      </w:pPr>
      <w:r>
        <w:t>6. API 与集成方式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集成形态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适用情况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Embedded Python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AI 应用与 OpenViking 同进程部署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适合本地工具、实验环境、低延迟私有服务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HTTP Server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多个应用共享知识库服务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通过 FastAPI 路由提供资源、搜索、会话、文件系统等接口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Console / Admin UI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知识管理和运维操作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用于上传资料、查看任务、配置和调试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CLI / SDK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脚本化导入、测试、批处理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适合资料迁移、构建索引、自动化验证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Bot / MCP</w:t>
            </w:r>
          </w:p>
        </w:tc>
        <w:tc>
          <w:tcPr>
            <w:tcW w:type="dxa" w:w="283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连接具体 AI 终端或 Agent 框架</w:t>
            </w:r>
          </w:p>
        </w:tc>
        <w:tc>
          <w:tcPr>
            <w:tcW w:type="dxa" w:w="3969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7"/>
              </w:rPr>
              <w:t>让客服机器人、投标助手等上层应用复用同一知识底座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HTTP 路由/方法</w:t>
            </w:r>
          </w:p>
        </w:tc>
        <w:tc>
          <w:tcPr>
            <w:tcW w:type="dxa" w:w="37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主要用途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资源入库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POST /api/v1/resources</w:t>
            </w:r>
          </w:p>
        </w:tc>
        <w:tc>
          <w:tcPr>
            <w:tcW w:type="dxa" w:w="37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上传或引用资源，触发解析、摘要和索引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临时上传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POST /api/v1/resources/temp_upload</w:t>
            </w:r>
          </w:p>
        </w:tc>
        <w:tc>
          <w:tcPr>
            <w:tcW w:type="dxa" w:w="37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上传本地文件，返回 temp_file_id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语义检索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POST /api/v1/search/find</w:t>
            </w:r>
          </w:p>
        </w:tc>
        <w:tc>
          <w:tcPr>
            <w:tcW w:type="dxa" w:w="37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无会话语义搜索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会话检索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POST /api/v1/search/search</w:t>
            </w:r>
          </w:p>
        </w:tc>
        <w:tc>
          <w:tcPr>
            <w:tcW w:type="dxa" w:w="37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结合 session 的多意图检索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文本/路径检索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POST /api/v1/search/grep, /glob</w:t>
            </w:r>
          </w:p>
        </w:tc>
        <w:tc>
          <w:tcPr>
            <w:tcW w:type="dxa" w:w="37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精确文本查找和路径匹配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会话提交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SessionService commit_async</w:t>
            </w:r>
          </w:p>
        </w:tc>
        <w:tc>
          <w:tcPr>
            <w:tcW w:type="dxa" w:w="37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归档消息并触发长期记忆抽取</w:t>
            </w:r>
          </w:p>
        </w:tc>
      </w:tr>
      <w:tr>
        <w:tc>
          <w:tcPr>
            <w:tcW w:type="dxa" w:w="1587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内容读取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read / abstract / overview</w:t>
            </w:r>
          </w:p>
        </w:tc>
        <w:tc>
          <w:tcPr>
            <w:tcW w:type="dxa" w:w="379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读取原文、L0 摘要或 L1 概览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7. 运行、可观测性与风险控制</w:t>
      </w:r>
    </w:p>
    <w:p>
      <w:pPr>
        <w:spacing w:after="100"/>
        <w:ind w:firstLine="420"/>
      </w:pPr>
      <w:r>
        <w:rPr>
          <w:rFonts w:ascii="Arial" w:hAnsi="Arial" w:eastAsia="Heiti SC"/>
        </w:rPr>
        <w:t>OpenViking 的关键处理链路大量使用异步队列和后台任务，因此运行质量取决于模型服务、向量库、文件系统、队列状态和任务注册表的协同。技术说明和实施交付中应重点关注以下运维点。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关注项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指标/现象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6"/>
              </w:rPr>
              <w:t>处理建议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资源入库耗时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wait_complete 超时、queue.wait.duration_ms 偏高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检查 Parser 耗时、LLM 并发、向量库写入和模型限流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摘要失败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SemanticProcessor re-enqueue 或 document status failed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区分临时模型错误和永久错误，必要时调低并发或修正文档格式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检索质量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召回过宽、答案引用不准、score 过低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检查 L0/L1 摘要质量、rerank 配置、target_uri 和 context_type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记忆污染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重复记忆、过时偏好、不准确案例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启用去重合并，保留归档审计，定期做热度和低质记忆治理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权限边界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跨账号或跨用户检索异常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检查 RequestContext、owner_space、account_id 和 HTTP 身份头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增量同步</w:t>
            </w:r>
          </w:p>
        </w:tc>
        <w:tc>
          <w:tcPr>
            <w:tcW w:type="dxa" w:w="311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旧内容未删除或新内容未索引</w:t>
            </w:r>
          </w:p>
        </w:tc>
        <w:tc>
          <w:tcPr>
            <w:tcW w:type="dxa" w:w="3685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6"/>
              </w:rPr>
              <w:t>检查 target_uri、生命周期锁、watch task 和 diff 同步日志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8FB"/>
            <w:tcBorders>
              <w:top w:val="single" w:sz="8" w:space="0" w:color="B7D4EA"/>
              <w:left w:val="single" w:sz="8" w:space="0" w:color="B7D4EA"/>
              <w:bottom w:val="single" w:sz="8" w:space="0" w:color="B7D4EA"/>
              <w:right w:val="single" w:sz="8" w:space="0" w:color="B7D4EA"/>
              <w:insideH w:val="single" w:sz="8" w:space="0" w:color="B7D4EA"/>
              <w:insideV w:val="single" w:sz="8" w:space="0" w:color="B7D4EA"/>
            </w:tcBorders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Heiti SC"/>
                <w:b/>
                <w:color w:val="163957"/>
                <w:sz w:val="22"/>
              </w:rPr>
              <w:t>实施建议</w:t>
            </w:r>
          </w:p>
          <w:p>
            <w:pPr>
              <w:spacing w:after="0"/>
            </w:pPr>
            <w:r>
              <w:rPr>
                <w:rFonts w:ascii="Arial" w:hAnsi="Arial" w:eastAsia="Heiti SC"/>
                <w:color w:val="1F2933"/>
                <w:sz w:val="20"/>
              </w:rPr>
              <w:t>先以客服机器人或投标资料库作为高价值场景验证闭环，再把同一知识底座扩展到更多 AI 应用。每扩展一个场景，优先复用资源入库、记忆沉淀、检索增强和权限治理能力，只新增场景 Prompt、工具链和业务流程编排。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8. 源码依据与模块地图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5"/>
              </w:rPr>
              <w:t>关键文件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总体架构文档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docs/zh/concepts/01-architecture.md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服务层、处理层、双层存储和数据流说明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上下文层级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docs/zh/concepts/03-context-layers.md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L0/L1/L2 分层设计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资料抽取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docs/zh/concepts/06-extraction.md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Parser、TreeBuilder、SemanticQueue 和多格式支持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检索设计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docs/zh/concepts/07-retrieval.md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find/search、TypedQuery、分层检索和重排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会话与记忆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docs/zh/concepts/08-session.md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Session commit、归档、记忆抽取和去重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多租户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docs/zh/concepts/11-multi-tenant.md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account/user/agent 隔离和身份边界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资源 API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openviking/server/routers/resources.py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add_resource、temp_upload、knowledge documents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搜索 API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openviking/server/routers/search.py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find、search、grep、glob 路由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文档树落位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openviking/parse/tree_builder.py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临时目录、URI 解析、唯一命名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语义处理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openviking/storage/queuefs/semantic_processor.py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L0/L1 生成、增量更新、熔断重试、向量化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会话实现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openviking/session/session.py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消息、归档、异步提交和 active_count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记忆抽取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openviking/session/memory_extractor.py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8 类记忆候选和工具调用格式化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记忆压缩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openviking/session/compressor.py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去重合并、写入、切块与语义刷新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客户端</w:t>
            </w:r>
          </w:p>
        </w:tc>
        <w:tc>
          <w:tcPr>
            <w:tcW w:type="dxa" w:w="3628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openviking_cli/client/*.py</w:t>
            </w:r>
          </w:p>
        </w:tc>
        <w:tc>
          <w:tcPr>
            <w:tcW w:type="dxa" w:w="3061"/>
            <w:vAlign w:val="center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  <w:insideH w:val="single" w:sz="8" w:space="0" w:color="D9E2EC"/>
              <w:insideV w:val="single" w:sz="8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shd w:fill="FAFBFC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1F2933"/>
                <w:sz w:val="15"/>
              </w:rPr>
              <w:t>Local/HTTP/Sync Client 封装</w:t>
            </w:r>
          </w:p>
        </w:tc>
      </w:tr>
    </w:tbl>
    <w:p/>
    <w:p>
      <w:pPr>
        <w:spacing w:after="100"/>
        <w:ind w:firstLine="420"/>
      </w:pPr>
      <w:r>
        <w:rPr>
          <w:rFonts w:ascii="Arial" w:hAnsi="Arial" w:eastAsia="Heiti SC"/>
        </w:rPr>
        <w:t>以上模块共同构成 OpenViking 的通用知识库能力。对参赛展示而言，可把客服机器人作为“已验证落地案例”，把智能投标作为“可复制扩展案例”，核心亮点则落在统一知识底座、长期记忆、分层检索和多应用复用。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eiti SC"/>
        <w:color w:val="7B8794"/>
        <w:sz w:val="17"/>
      </w:rPr>
      <w:t>OpenViking 通用知识库技术说明文档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rial" w:hAnsi="Arial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1639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1639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Heiti SC"/>
      <w:b/>
      <w:color w:val="1639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