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Heiti SC"/>
          <w:b/>
          <w:color w:val="163957"/>
          <w:sz w:val="36"/>
        </w:rPr>
        <w:t>第二届西软 AI 大赛报名表</w:t>
      </w:r>
    </w:p>
    <w:p>
      <w:pPr>
        <w:jc w:val="center"/>
      </w:pPr>
      <w:r>
        <w:rPr>
          <w:rFonts w:ascii="Arial" w:hAnsi="Arial" w:eastAsia="Heiti SC"/>
          <w:color w:val="1F4E79"/>
          <w:sz w:val="24"/>
        </w:rPr>
        <w:t>项目：OpenViking 通用 AI 知识库底座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226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236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项目名称</w:t>
            </w:r>
          </w:p>
        </w:tc>
        <w:tc>
          <w:tcPr>
            <w:tcW w:type="dxa" w:w="6236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OpenViking 通用 AI 知识库底座：赋能智能客服与智能投标</w:t>
            </w:r>
          </w:p>
        </w:tc>
      </w:tr>
      <w:tr>
        <w:tc>
          <w:tcPr>
            <w:tcW w:type="dxa" w:w="226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参赛赛道</w:t>
            </w:r>
          </w:p>
        </w:tc>
        <w:tc>
          <w:tcPr>
            <w:tcW w:type="dxa" w:w="6236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赛道二：客户 AI 赋能；兼具赛道一内部提效价值</w:t>
            </w:r>
          </w:p>
        </w:tc>
      </w:tr>
      <w:tr>
        <w:tc>
          <w:tcPr>
            <w:tcW w:type="dxa" w:w="226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参赛形式</w:t>
            </w:r>
          </w:p>
        </w:tc>
        <w:tc>
          <w:tcPr>
            <w:tcW w:type="dxa" w:w="6236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团队参赛（建议不超过 5 人，成员信息待填写）</w:t>
            </w:r>
          </w:p>
        </w:tc>
      </w:tr>
      <w:tr>
        <w:tc>
          <w:tcPr>
            <w:tcW w:type="dxa" w:w="226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团队名称</w:t>
            </w:r>
          </w:p>
        </w:tc>
        <w:tc>
          <w:tcPr>
            <w:tcW w:type="dxa" w:w="6236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待填写</w:t>
            </w:r>
          </w:p>
        </w:tc>
      </w:tr>
      <w:tr>
        <w:tc>
          <w:tcPr>
            <w:tcW w:type="dxa" w:w="226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团队成员</w:t>
            </w:r>
          </w:p>
        </w:tc>
        <w:tc>
          <w:tcPr>
            <w:tcW w:type="dxa" w:w="6236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待填写：姓名 / 部门 / 角色 / 联系方式</w:t>
            </w:r>
          </w:p>
        </w:tc>
      </w:tr>
      <w:tr>
        <w:tc>
          <w:tcPr>
            <w:tcW w:type="dxa" w:w="226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项目负责人</w:t>
            </w:r>
          </w:p>
        </w:tc>
        <w:tc>
          <w:tcPr>
            <w:tcW w:type="dxa" w:w="6236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待填写</w:t>
            </w:r>
          </w:p>
        </w:tc>
      </w:tr>
      <w:tr>
        <w:tc>
          <w:tcPr>
            <w:tcW w:type="dxa" w:w="226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联系邮箱</w:t>
            </w:r>
          </w:p>
        </w:tc>
        <w:tc>
          <w:tcPr>
            <w:tcW w:type="dxa" w:w="6236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待填写</w:t>
            </w:r>
          </w:p>
        </w:tc>
      </w:tr>
      <w:tr>
        <w:tc>
          <w:tcPr>
            <w:tcW w:type="dxa" w:w="226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项目当前状态</w:t>
            </w:r>
          </w:p>
        </w:tc>
        <w:tc>
          <w:tcPr>
            <w:tcW w:type="dxa" w:w="6236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已有 OpenViking Server、管理后台、VikingBot、客服页面、召回测试、智能投标 MCP 工具。</w:t>
            </w:r>
          </w:p>
        </w:tc>
      </w:tr>
    </w:tbl>
    <w:p/>
    <w:p>
      <w:pPr>
        <w:pStyle w:val="Heading1"/>
      </w:pPr>
      <w:r>
        <w:t>项目简介</w:t>
      </w:r>
    </w:p>
    <w:p>
      <w:pPr>
        <w:spacing w:after="100"/>
        <w:ind w:firstLine="420"/>
      </w:pPr>
      <w:r>
        <w:rPr>
          <w:rFonts w:ascii="Arial" w:hAnsi="Arial" w:eastAsia="Heiti SC"/>
        </w:rPr>
        <w:t>OpenViking 是面向 AI 智能体的通用上下文数据库。本项目以 OpenViking 为企业 AI 知识库底座，将产品文档、FAQ、历史工单、资质证书、方案案例和会话记忆统一组织为可检索、可观察、可复用的知识资产。本次参赛以西软 AI 客服作为已落地案例，并扩展智能投标助手，展示一个底座如何快速孵化多个 AI 应用。</w:t>
      </w:r>
    </w:p>
    <w:p>
      <w:pPr>
        <w:pStyle w:val="Heading1"/>
      </w:pPr>
      <w:r>
        <w:t>解决的业务问题</w:t>
      </w:r>
    </w:p>
    <w:p>
      <w:pPr>
        <w:pStyle w:val="ListBullet"/>
        <w:spacing w:after="60"/>
        <w:ind w:left="425"/>
      </w:pPr>
      <w:r>
        <w:rPr>
          <w:rFonts w:ascii="Arial" w:hAnsi="Arial" w:eastAsia="Heiti SC"/>
          <w:sz w:val="20"/>
        </w:rPr>
        <w:t>客服知识分散，重复问题依赖人工经验，响应效率和一致性难保障。</w:t>
      </w:r>
    </w:p>
    <w:p>
      <w:pPr>
        <w:pStyle w:val="ListBullet"/>
        <w:spacing w:after="60"/>
        <w:ind w:left="425"/>
      </w:pPr>
      <w:r>
        <w:rPr>
          <w:rFonts w:ascii="Arial" w:hAnsi="Arial" w:eastAsia="Heiti SC"/>
          <w:sz w:val="20"/>
        </w:rPr>
        <w:t>投标资料分散在证书、方案、案例和图片中，人工收集耗时且容易遗漏。</w:t>
      </w:r>
    </w:p>
    <w:p>
      <w:pPr>
        <w:pStyle w:val="ListBullet"/>
        <w:spacing w:after="60"/>
        <w:ind w:left="425"/>
      </w:pPr>
      <w:r>
        <w:rPr>
          <w:rFonts w:ascii="Arial" w:hAnsi="Arial" w:eastAsia="Heiti SC"/>
          <w:sz w:val="20"/>
        </w:rPr>
        <w:t>传统 RAG 难以保留目录语义、检索轨迹和证据来源。</w:t>
      </w:r>
    </w:p>
    <w:p>
      <w:pPr>
        <w:pStyle w:val="Heading1"/>
      </w:pPr>
      <w:r>
        <w:t>预期价值</w:t>
      </w:r>
    </w:p>
    <w:p>
      <w:pPr>
        <w:pStyle w:val="ListBullet"/>
        <w:spacing w:after="60"/>
        <w:ind w:left="425"/>
      </w:pPr>
      <w:r>
        <w:rPr>
          <w:rFonts w:ascii="Arial" w:hAnsi="Arial" w:eastAsia="Heiti SC"/>
          <w:sz w:val="20"/>
        </w:rPr>
        <w:t>客服场景：提升常见问题自助率，降低重复咨询人工处理时间。</w:t>
      </w:r>
    </w:p>
    <w:p>
      <w:pPr>
        <w:pStyle w:val="ListBullet"/>
        <w:spacing w:after="60"/>
        <w:ind w:left="425"/>
      </w:pPr>
      <w:r>
        <w:rPr>
          <w:rFonts w:ascii="Arial" w:hAnsi="Arial" w:eastAsia="Heiti SC"/>
          <w:sz w:val="20"/>
        </w:rPr>
        <w:t>投标场景：缩短资质/方案/案例检索时间，减少材料遗漏和返工。</w:t>
      </w:r>
    </w:p>
    <w:p>
      <w:pPr>
        <w:pStyle w:val="ListBullet"/>
        <w:spacing w:after="60"/>
        <w:ind w:left="425"/>
      </w:pPr>
      <w:r>
        <w:rPr>
          <w:rFonts w:ascii="Arial" w:hAnsi="Arial" w:eastAsia="Heiti SC"/>
          <w:sz w:val="20"/>
        </w:rPr>
        <w:t>产品化价值：沉淀可复用 AI 知识库底座，支撑客户 AI 赋能产品线。</w:t>
      </w:r>
    </w:p>
    <w:p>
      <w:pPr>
        <w:pStyle w:val="Heading1"/>
      </w:pPr>
      <w:r>
        <w:t>报名提交材料清单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396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材料</w:t>
            </w:r>
          </w:p>
        </w:tc>
        <w:tc>
          <w:tcPr>
            <w:tcW w:type="dxa" w:w="453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396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报名表</w:t>
            </w:r>
          </w:p>
        </w:tc>
        <w:tc>
          <w:tcPr>
            <w:tcW w:type="dxa" w:w="453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本文档，成员信息待填写</w:t>
            </w:r>
          </w:p>
        </w:tc>
      </w:tr>
      <w:tr>
        <w:tc>
          <w:tcPr>
            <w:tcW w:type="dxa" w:w="396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项目方案文档初稿</w:t>
            </w:r>
          </w:p>
        </w:tc>
        <w:tc>
          <w:tcPr>
            <w:tcW w:type="dxa" w:w="453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已生成《OpenViking通用知识库_AI大赛参赛方案文档》</w:t>
            </w:r>
          </w:p>
        </w:tc>
      </w:tr>
      <w:tr>
        <w:tc>
          <w:tcPr>
            <w:tcW w:type="dxa" w:w="396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商业价值分析报告</w:t>
            </w:r>
          </w:p>
        </w:tc>
        <w:tc>
          <w:tcPr>
            <w:tcW w:type="dxa" w:w="453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已生成《OpenViking通用知识库_商业价值分析报告》</w:t>
            </w:r>
          </w:p>
        </w:tc>
      </w:tr>
      <w:tr>
        <w:tc>
          <w:tcPr>
            <w:tcW w:type="dxa" w:w="396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演示视频脚本</w:t>
            </w:r>
          </w:p>
        </w:tc>
        <w:tc>
          <w:tcPr>
            <w:tcW w:type="dxa" w:w="453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已生成《OpenViking通用知识库_演示视频脚本》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765" w:right="992" w:bottom="709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Heiti SC"/>
        <w:color w:val="7B8794"/>
        <w:sz w:val="17"/>
      </w:rPr>
      <w:t>OpenViking 通用 AI 知识库底座报名表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Arial" w:hAnsi="Arial" w:eastAsia="He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 w:eastAsia="Heiti SC"/>
      <w:b/>
      <w:bCs/>
      <w:color w:val="16395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Heiti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 w:eastAsia="Heiti SC"/>
      <w:b/>
      <w:bCs/>
      <w:color w:val="16395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Heiti SC"/>
      <w:b/>
      <w:color w:val="16395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