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189E1">
      <w:pPr>
        <w:widowControl/>
        <w:jc w:val="left"/>
        <w:rPr>
          <w:rFonts w:hint="eastAsia" w:ascii="宋体" w:hAnsi="宋体" w:eastAsia="宋体"/>
          <w:sz w:val="30"/>
          <w:szCs w:val="24"/>
        </w:rPr>
      </w:pPr>
      <w:r>
        <w:rPr>
          <w:rFonts w:hint="eastAsia"/>
        </w:rPr>
        <w:br w:type="page"/>
      </w:r>
    </w:p>
    <w:p w14:paraId="5B1E65E3">
      <w:pPr>
        <w:pStyle w:val="52"/>
        <w:rPr>
          <w:rFonts w:hint="eastAsia"/>
        </w:rPr>
      </w:pPr>
      <w:bookmarkStart w:id="98" w:name="_GoBack"/>
      <w:bookmarkEnd w:id="98"/>
      <w:r>
        <w:rPr>
          <w:rFonts w:hint="eastAsia"/>
        </w:rPr>
        <w:t>摘要</w:t>
      </w:r>
    </w:p>
    <w:p w14:paraId="38378AE2">
      <w:pPr>
        <w:pStyle w:val="52"/>
        <w:ind w:firstLine="480"/>
        <w:jc w:val="left"/>
        <w:rPr>
          <w:rFonts w:hint="eastAsia"/>
          <w:sz w:val="24"/>
        </w:rPr>
      </w:pPr>
      <w:r>
        <w:rPr>
          <w:rFonts w:hint="eastAsia"/>
          <w:sz w:val="24"/>
        </w:rPr>
        <w:t>随着社会节奏加快与心理压力持续上升，焦虑、抑郁等心理问题呈现年轻化与普遍化趋势，但传统心理健康服务存在覆盖不足、成本较高、主观依赖性强等问题，难以满足大规模、实时化与精准化的需求。在此背景下，本项目提出“心安动识——基于YOLO的情绪识别与心灵疗愈多智能体协作系统”，构建面向个人与机构的智能心理健康解决方案。</w:t>
      </w:r>
    </w:p>
    <w:p w14:paraId="45D7DCA3">
      <w:pPr>
        <w:pStyle w:val="52"/>
        <w:ind w:firstLine="480"/>
        <w:jc w:val="left"/>
        <w:rPr>
          <w:rFonts w:hint="eastAsia"/>
          <w:sz w:val="24"/>
        </w:rPr>
      </w:pPr>
      <w:r>
        <w:rPr>
          <w:rFonts w:hint="eastAsia"/>
          <w:sz w:val="24"/>
        </w:rPr>
        <w:t>项目以多模态感知与计算机视觉技术为核心，融合YOLO目标检测模型、Bi-LSTM+CNN时序分析算法及多智能体协同决策机制，实现对用户焦虑躯体化行为（如抠手、咬指甲等）的实时识别与情绪状态量化分析。在此基础上，系统结合认知行为疗法（CBT）、正念训练与习惯逆转训练（HRT）等心理干预方法，构建“行为感知—情绪分析—智能干预—持续疗愈”的全链路闭环服务体系。同时，项目通过软硬件一体化设计，融合可穿戴设备、Web平台与AI虚拟IP“安小宁”桌宠交互系统，提升用户体验与情感陪伴感，并采用B2B2C商业模式，覆盖校园、企业、医疗与家庭等多场景应用。通过多元化收入结构，形成可持续商业生态。</w:t>
      </w:r>
    </w:p>
    <w:p w14:paraId="05383F92">
      <w:pPr>
        <w:pStyle w:val="52"/>
        <w:ind w:firstLine="480"/>
        <w:jc w:val="left"/>
        <w:rPr>
          <w:rFonts w:hint="eastAsia"/>
          <w:sz w:val="24"/>
        </w:rPr>
      </w:pPr>
      <w:r>
        <w:rPr>
          <w:rFonts w:hint="eastAsia"/>
          <w:sz w:val="24"/>
        </w:rPr>
        <w:t>整体而言，“心安动识”旨在以人工智能技术赋能心理健康服务，实现心理问题的早期识别、精准干预与长期陪伴，为构建数字化、智能化、普惠化的心理健康体系提供创新路径。</w:t>
      </w:r>
    </w:p>
    <w:p w14:paraId="175BF5E8">
      <w:pPr>
        <w:pStyle w:val="52"/>
        <w:ind w:firstLine="480"/>
        <w:jc w:val="left"/>
        <w:rPr>
          <w:rFonts w:hint="eastAsia"/>
          <w:sz w:val="24"/>
        </w:rPr>
      </w:pPr>
      <w:r>
        <w:rPr>
          <w:rFonts w:hint="eastAsia"/>
          <w:sz w:val="24"/>
        </w:rPr>
        <w:t xml:space="preserve">关键词：情绪识别；YOLO目标检测；多模态融合；CBT认知行为疗法；智能疗愈系统 </w:t>
      </w:r>
    </w:p>
    <w:p w14:paraId="2D7DD5A6">
      <w:pPr>
        <w:widowControl/>
        <w:jc w:val="left"/>
        <w:rPr>
          <w:rFonts w:hint="eastAsia" w:ascii="宋体" w:hAnsi="宋体" w:eastAsia="宋体"/>
          <w:sz w:val="24"/>
          <w:szCs w:val="24"/>
        </w:rPr>
      </w:pPr>
    </w:p>
    <w:p w14:paraId="7BE070C2">
      <w:pPr>
        <w:widowControl/>
        <w:jc w:val="left"/>
        <w:rPr>
          <w:rFonts w:hint="eastAsia" w:ascii="宋体" w:hAnsi="宋体" w:eastAsia="宋体"/>
          <w:sz w:val="24"/>
          <w:szCs w:val="24"/>
        </w:rPr>
      </w:pPr>
      <w:r>
        <w:rPr>
          <w:rFonts w:hint="eastAsia"/>
          <w:sz w:val="24"/>
        </w:rPr>
        <w:br w:type="page"/>
      </w:r>
    </w:p>
    <w:p w14:paraId="1908AE92">
      <w:pPr>
        <w:pStyle w:val="52"/>
        <w:ind w:firstLine="0" w:firstLineChars="0"/>
        <w:jc w:val="left"/>
        <w:rPr>
          <w:rFonts w:hint="eastAsia"/>
          <w:sz w:val="24"/>
        </w:rPr>
      </w:pPr>
    </w:p>
    <w:p w14:paraId="3DF595AE">
      <w:pPr>
        <w:spacing w:line="360" w:lineRule="auto"/>
        <w:ind w:firstLine="600" w:firstLineChars="200"/>
        <w:jc w:val="center"/>
        <w:rPr>
          <w:rFonts w:hint="eastAsia" w:ascii="宋体" w:hAnsi="宋体" w:eastAsia="宋体"/>
          <w:sz w:val="24"/>
          <w:szCs w:val="24"/>
        </w:rPr>
      </w:pPr>
      <w:r>
        <w:rPr>
          <w:rFonts w:hint="eastAsia" w:ascii="宋体" w:hAnsi="宋体" w:eastAsia="宋体"/>
          <w:sz w:val="30"/>
          <w:szCs w:val="30"/>
        </w:rPr>
        <w:t>目录</w:t>
      </w:r>
      <w:r>
        <w:rPr>
          <w:rFonts w:hint="eastAsia" w:ascii="宋体" w:hAnsi="宋体" w:eastAsia="宋体"/>
          <w:sz w:val="24"/>
          <w:szCs w:val="24"/>
        </w:rPr>
        <w:fldChar w:fldCharType="begin"/>
      </w:r>
      <w:r>
        <w:rPr>
          <w:rFonts w:hint="eastAsia" w:ascii="宋体" w:hAnsi="宋体" w:eastAsia="宋体"/>
          <w:sz w:val="24"/>
          <w:szCs w:val="24"/>
        </w:rPr>
        <w:instrText xml:space="preserve"> TOC \o "1-3" \h \z \u </w:instrText>
      </w:r>
      <w:r>
        <w:rPr>
          <w:rFonts w:hint="eastAsia" w:ascii="宋体" w:hAnsi="宋体" w:eastAsia="宋体"/>
          <w:sz w:val="24"/>
          <w:szCs w:val="24"/>
        </w:rPr>
        <w:fldChar w:fldCharType="separate"/>
      </w:r>
    </w:p>
    <w:p w14:paraId="117C0A3B">
      <w:pPr>
        <w:pStyle w:val="22"/>
        <w:tabs>
          <w:tab w:val="right" w:leader="dot" w:pos="8296"/>
        </w:tabs>
        <w:spacing w:line="360" w:lineRule="auto"/>
        <w:rPr>
          <w:rFonts w:hint="eastAsia" w:ascii="宋体" w:hAnsi="宋体" w:eastAsia="宋体"/>
          <w:sz w:val="24"/>
          <w:szCs w:val="24"/>
        </w:rPr>
      </w:pPr>
      <w:r>
        <w:fldChar w:fldCharType="begin"/>
      </w:r>
      <w:r>
        <w:instrText xml:space="preserve"> HYPERLINK \l "_Toc232355744" </w:instrText>
      </w:r>
      <w:r>
        <w:fldChar w:fldCharType="separate"/>
      </w:r>
      <w:r>
        <w:rPr>
          <w:rStyle w:val="29"/>
          <w:rFonts w:hint="eastAsia" w:ascii="宋体" w:hAnsi="宋体" w:eastAsia="宋体"/>
          <w:sz w:val="24"/>
          <w:szCs w:val="24"/>
        </w:rPr>
        <w:t>摘要</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_Toc232355744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b/>
        </w:rPr>
        <w:t>错误！未定义书签。</w:t>
      </w:r>
      <w:r>
        <w:rPr>
          <w:rFonts w:hint="eastAsia" w:ascii="宋体" w:hAnsi="宋体" w:eastAsia="宋体"/>
          <w:sz w:val="24"/>
          <w:szCs w:val="24"/>
        </w:rPr>
        <w:fldChar w:fldCharType="end"/>
      </w:r>
      <w:r>
        <w:rPr>
          <w:rFonts w:hint="eastAsia" w:ascii="宋体" w:hAnsi="宋体" w:eastAsia="宋体"/>
          <w:sz w:val="24"/>
          <w:szCs w:val="24"/>
        </w:rPr>
        <w:fldChar w:fldCharType="end"/>
      </w:r>
    </w:p>
    <w:p w14:paraId="5EA140FD">
      <w:pPr>
        <w:pStyle w:val="18"/>
        <w:tabs>
          <w:tab w:val="right" w:leader="dot" w:pos="8296"/>
        </w:tabs>
        <w:spacing w:line="360" w:lineRule="auto"/>
        <w:rPr>
          <w:rFonts w:hint="eastAsia" w:ascii="宋体" w:hAnsi="宋体" w:eastAsia="宋体"/>
          <w:sz w:val="24"/>
          <w:szCs w:val="24"/>
        </w:rPr>
      </w:pPr>
      <w:r>
        <w:fldChar w:fldCharType="begin"/>
      </w:r>
      <w:r>
        <w:instrText xml:space="preserve"> HYPERLINK \l "_Toc232355745" </w:instrText>
      </w:r>
      <w:r>
        <w:fldChar w:fldCharType="separate"/>
      </w:r>
      <w:r>
        <w:rPr>
          <w:rStyle w:val="29"/>
          <w:rFonts w:ascii="宋体" w:hAnsi="宋体" w:eastAsia="宋体"/>
          <w:sz w:val="24"/>
          <w:szCs w:val="24"/>
        </w:rPr>
        <w:t>一、项目背景</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_Toc232355745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6</w:t>
      </w:r>
      <w:r>
        <w:rPr>
          <w:rFonts w:hint="eastAsia" w:ascii="宋体" w:hAnsi="宋体" w:eastAsia="宋体"/>
          <w:sz w:val="24"/>
          <w:szCs w:val="24"/>
        </w:rPr>
        <w:fldChar w:fldCharType="end"/>
      </w:r>
      <w:r>
        <w:rPr>
          <w:rFonts w:hint="eastAsia" w:ascii="宋体" w:hAnsi="宋体" w:eastAsia="宋体"/>
          <w:sz w:val="24"/>
          <w:szCs w:val="24"/>
        </w:rPr>
        <w:fldChar w:fldCharType="end"/>
      </w:r>
    </w:p>
    <w:p w14:paraId="6B4715A8">
      <w:pPr>
        <w:pStyle w:val="22"/>
        <w:tabs>
          <w:tab w:val="right" w:leader="dot" w:pos="8296"/>
        </w:tabs>
        <w:spacing w:line="360" w:lineRule="auto"/>
        <w:rPr>
          <w:rFonts w:hint="eastAsia" w:ascii="宋体" w:hAnsi="宋体" w:eastAsia="宋体"/>
          <w:sz w:val="24"/>
          <w:szCs w:val="24"/>
        </w:rPr>
      </w:pPr>
      <w:r>
        <w:fldChar w:fldCharType="begin"/>
      </w:r>
      <w:r>
        <w:instrText xml:space="preserve"> HYPERLINK \l "_Toc232355746" </w:instrText>
      </w:r>
      <w:r>
        <w:fldChar w:fldCharType="separate"/>
      </w:r>
      <w:r>
        <w:rPr>
          <w:rStyle w:val="29"/>
          <w:rFonts w:ascii="宋体" w:hAnsi="宋体" w:eastAsia="宋体"/>
          <w:sz w:val="24"/>
          <w:szCs w:val="24"/>
        </w:rPr>
        <w:t>1.1 政策背景</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_Toc232355746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6</w:t>
      </w:r>
      <w:r>
        <w:rPr>
          <w:rFonts w:hint="eastAsia" w:ascii="宋体" w:hAnsi="宋体" w:eastAsia="宋体"/>
          <w:sz w:val="24"/>
          <w:szCs w:val="24"/>
        </w:rPr>
        <w:fldChar w:fldCharType="end"/>
      </w:r>
      <w:r>
        <w:rPr>
          <w:rFonts w:hint="eastAsia" w:ascii="宋体" w:hAnsi="宋体" w:eastAsia="宋体"/>
          <w:sz w:val="24"/>
          <w:szCs w:val="24"/>
        </w:rPr>
        <w:fldChar w:fldCharType="end"/>
      </w:r>
    </w:p>
    <w:p w14:paraId="2116AF84">
      <w:pPr>
        <w:pStyle w:val="22"/>
        <w:tabs>
          <w:tab w:val="right" w:leader="dot" w:pos="8296"/>
        </w:tabs>
        <w:spacing w:line="360" w:lineRule="auto"/>
        <w:rPr>
          <w:rFonts w:hint="eastAsia" w:ascii="宋体" w:hAnsi="宋体" w:eastAsia="宋体"/>
          <w:sz w:val="24"/>
          <w:szCs w:val="24"/>
        </w:rPr>
      </w:pPr>
      <w:r>
        <w:fldChar w:fldCharType="begin"/>
      </w:r>
      <w:r>
        <w:instrText xml:space="preserve"> HYPERLINK \l "_Toc232355747" </w:instrText>
      </w:r>
      <w:r>
        <w:fldChar w:fldCharType="separate"/>
      </w:r>
      <w:r>
        <w:rPr>
          <w:rStyle w:val="29"/>
          <w:rFonts w:ascii="宋体" w:hAnsi="宋体" w:eastAsia="宋体"/>
          <w:sz w:val="24"/>
          <w:szCs w:val="24"/>
        </w:rPr>
        <w:t>1.2 行业趋势</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_Toc232355747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7</w:t>
      </w:r>
      <w:r>
        <w:rPr>
          <w:rFonts w:hint="eastAsia" w:ascii="宋体" w:hAnsi="宋体" w:eastAsia="宋体"/>
          <w:sz w:val="24"/>
          <w:szCs w:val="24"/>
        </w:rPr>
        <w:fldChar w:fldCharType="end"/>
      </w:r>
      <w:r>
        <w:rPr>
          <w:rFonts w:hint="eastAsia" w:ascii="宋体" w:hAnsi="宋体" w:eastAsia="宋体"/>
          <w:sz w:val="24"/>
          <w:szCs w:val="24"/>
        </w:rPr>
        <w:fldChar w:fldCharType="end"/>
      </w:r>
    </w:p>
    <w:p w14:paraId="7E581A90">
      <w:pPr>
        <w:pStyle w:val="18"/>
        <w:tabs>
          <w:tab w:val="right" w:leader="dot" w:pos="8296"/>
        </w:tabs>
        <w:spacing w:line="360" w:lineRule="auto"/>
        <w:rPr>
          <w:rFonts w:hint="eastAsia" w:ascii="宋体" w:hAnsi="宋体" w:eastAsia="宋体"/>
          <w:sz w:val="24"/>
          <w:szCs w:val="24"/>
        </w:rPr>
      </w:pPr>
      <w:r>
        <w:fldChar w:fldCharType="begin"/>
      </w:r>
      <w:r>
        <w:instrText xml:space="preserve"> HYPERLINK \l "_Toc232355748" </w:instrText>
      </w:r>
      <w:r>
        <w:fldChar w:fldCharType="separate"/>
      </w:r>
      <w:r>
        <w:rPr>
          <w:rStyle w:val="29"/>
          <w:rFonts w:ascii="宋体" w:hAnsi="宋体" w:eastAsia="宋体"/>
          <w:sz w:val="24"/>
          <w:szCs w:val="24"/>
        </w:rPr>
        <w:t>二、项目方案</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_Toc232355748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9</w:t>
      </w:r>
      <w:r>
        <w:rPr>
          <w:rFonts w:hint="eastAsia" w:ascii="宋体" w:hAnsi="宋体" w:eastAsia="宋体"/>
          <w:sz w:val="24"/>
          <w:szCs w:val="24"/>
        </w:rPr>
        <w:fldChar w:fldCharType="end"/>
      </w:r>
      <w:r>
        <w:rPr>
          <w:rFonts w:hint="eastAsia" w:ascii="宋体" w:hAnsi="宋体" w:eastAsia="宋体"/>
          <w:sz w:val="24"/>
          <w:szCs w:val="24"/>
        </w:rPr>
        <w:fldChar w:fldCharType="end"/>
      </w:r>
    </w:p>
    <w:p w14:paraId="15000EAF">
      <w:pPr>
        <w:pStyle w:val="22"/>
        <w:tabs>
          <w:tab w:val="right" w:leader="dot" w:pos="8296"/>
        </w:tabs>
        <w:spacing w:line="360" w:lineRule="auto"/>
        <w:rPr>
          <w:rFonts w:hint="eastAsia" w:ascii="宋体" w:hAnsi="宋体" w:eastAsia="宋体"/>
          <w:sz w:val="24"/>
          <w:szCs w:val="24"/>
        </w:rPr>
      </w:pPr>
      <w:r>
        <w:fldChar w:fldCharType="begin"/>
      </w:r>
      <w:r>
        <w:instrText xml:space="preserve"> HYPERLINK \l "_Toc232355749" </w:instrText>
      </w:r>
      <w:r>
        <w:fldChar w:fldCharType="separate"/>
      </w:r>
      <w:r>
        <w:rPr>
          <w:rStyle w:val="29"/>
          <w:rFonts w:ascii="宋体" w:hAnsi="宋体" w:eastAsia="宋体"/>
          <w:sz w:val="24"/>
          <w:szCs w:val="24"/>
        </w:rPr>
        <w:t>2.1 项目定位</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_Toc232355749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9</w:t>
      </w:r>
      <w:r>
        <w:rPr>
          <w:rFonts w:hint="eastAsia" w:ascii="宋体" w:hAnsi="宋体" w:eastAsia="宋体"/>
          <w:sz w:val="24"/>
          <w:szCs w:val="24"/>
        </w:rPr>
        <w:fldChar w:fldCharType="end"/>
      </w:r>
      <w:r>
        <w:rPr>
          <w:rFonts w:hint="eastAsia" w:ascii="宋体" w:hAnsi="宋体" w:eastAsia="宋体"/>
          <w:sz w:val="24"/>
          <w:szCs w:val="24"/>
        </w:rPr>
        <w:fldChar w:fldCharType="end"/>
      </w:r>
    </w:p>
    <w:p w14:paraId="3E401987">
      <w:pPr>
        <w:pStyle w:val="14"/>
        <w:tabs>
          <w:tab w:val="right" w:leader="dot" w:pos="8296"/>
        </w:tabs>
        <w:spacing w:line="360" w:lineRule="auto"/>
        <w:rPr>
          <w:rFonts w:hint="eastAsia" w:ascii="宋体" w:hAnsi="宋体" w:eastAsia="宋体"/>
          <w:sz w:val="24"/>
          <w:szCs w:val="24"/>
        </w:rPr>
      </w:pPr>
      <w:r>
        <w:fldChar w:fldCharType="begin"/>
      </w:r>
      <w:r>
        <w:instrText xml:space="preserve"> HYPERLINK \l "_Toc232355750" </w:instrText>
      </w:r>
      <w:r>
        <w:fldChar w:fldCharType="separate"/>
      </w:r>
      <w:r>
        <w:rPr>
          <w:rStyle w:val="29"/>
          <w:rFonts w:ascii="宋体" w:hAnsi="宋体" w:eastAsia="宋体"/>
          <w:sz w:val="24"/>
          <w:szCs w:val="24"/>
        </w:rPr>
        <w:t>2.1.1 核心差异化优势</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_Toc232355750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10</w:t>
      </w:r>
      <w:r>
        <w:rPr>
          <w:rFonts w:hint="eastAsia" w:ascii="宋体" w:hAnsi="宋体" w:eastAsia="宋体"/>
          <w:sz w:val="24"/>
          <w:szCs w:val="24"/>
        </w:rPr>
        <w:fldChar w:fldCharType="end"/>
      </w:r>
      <w:r>
        <w:rPr>
          <w:rFonts w:hint="eastAsia" w:ascii="宋体" w:hAnsi="宋体" w:eastAsia="宋体"/>
          <w:sz w:val="24"/>
          <w:szCs w:val="24"/>
        </w:rPr>
        <w:fldChar w:fldCharType="end"/>
      </w:r>
    </w:p>
    <w:p w14:paraId="3C203499">
      <w:pPr>
        <w:pStyle w:val="14"/>
        <w:tabs>
          <w:tab w:val="right" w:leader="dot" w:pos="8296"/>
        </w:tabs>
        <w:spacing w:line="360" w:lineRule="auto"/>
        <w:rPr>
          <w:rFonts w:hint="eastAsia" w:ascii="宋体" w:hAnsi="宋体" w:eastAsia="宋体"/>
          <w:sz w:val="24"/>
          <w:szCs w:val="24"/>
        </w:rPr>
      </w:pPr>
      <w:r>
        <w:fldChar w:fldCharType="begin"/>
      </w:r>
      <w:r>
        <w:instrText xml:space="preserve"> HYPERLINK \l "_Toc232355751" </w:instrText>
      </w:r>
      <w:r>
        <w:fldChar w:fldCharType="separate"/>
      </w:r>
      <w:r>
        <w:rPr>
          <w:rStyle w:val="29"/>
          <w:rFonts w:ascii="宋体" w:hAnsi="宋体" w:eastAsia="宋体"/>
          <w:sz w:val="24"/>
          <w:szCs w:val="24"/>
        </w:rPr>
        <w:t>2.1.2 产品核心理念</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_Toc232355751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11</w:t>
      </w:r>
      <w:r>
        <w:rPr>
          <w:rFonts w:hint="eastAsia" w:ascii="宋体" w:hAnsi="宋体" w:eastAsia="宋体"/>
          <w:sz w:val="24"/>
          <w:szCs w:val="24"/>
        </w:rPr>
        <w:fldChar w:fldCharType="end"/>
      </w:r>
      <w:r>
        <w:rPr>
          <w:rFonts w:hint="eastAsia" w:ascii="宋体" w:hAnsi="宋体" w:eastAsia="宋体"/>
          <w:sz w:val="24"/>
          <w:szCs w:val="24"/>
        </w:rPr>
        <w:fldChar w:fldCharType="end"/>
      </w:r>
    </w:p>
    <w:p w14:paraId="3A8EA248">
      <w:pPr>
        <w:pStyle w:val="14"/>
        <w:tabs>
          <w:tab w:val="right" w:leader="dot" w:pos="8296"/>
        </w:tabs>
        <w:spacing w:line="360" w:lineRule="auto"/>
        <w:rPr>
          <w:rFonts w:hint="eastAsia" w:ascii="宋体" w:hAnsi="宋体" w:eastAsia="宋体"/>
          <w:sz w:val="24"/>
          <w:szCs w:val="24"/>
        </w:rPr>
      </w:pPr>
      <w:r>
        <w:fldChar w:fldCharType="begin"/>
      </w:r>
      <w:r>
        <w:instrText xml:space="preserve"> HYPERLINK \l "_Toc232355752" </w:instrText>
      </w:r>
      <w:r>
        <w:fldChar w:fldCharType="separate"/>
      </w:r>
      <w:r>
        <w:rPr>
          <w:rStyle w:val="29"/>
          <w:rFonts w:ascii="宋体" w:hAnsi="宋体" w:eastAsia="宋体"/>
          <w:sz w:val="24"/>
          <w:szCs w:val="24"/>
        </w:rPr>
        <w:t>2.1.3 核心 IP：网页桌宠安小宁</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_Toc232355752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12</w:t>
      </w:r>
      <w:r>
        <w:rPr>
          <w:rFonts w:hint="eastAsia" w:ascii="宋体" w:hAnsi="宋体" w:eastAsia="宋体"/>
          <w:sz w:val="24"/>
          <w:szCs w:val="24"/>
        </w:rPr>
        <w:fldChar w:fldCharType="end"/>
      </w:r>
      <w:r>
        <w:rPr>
          <w:rFonts w:hint="eastAsia" w:ascii="宋体" w:hAnsi="宋体" w:eastAsia="宋体"/>
          <w:sz w:val="24"/>
          <w:szCs w:val="24"/>
        </w:rPr>
        <w:fldChar w:fldCharType="end"/>
      </w:r>
    </w:p>
    <w:p w14:paraId="0CF46FB0">
      <w:pPr>
        <w:pStyle w:val="22"/>
        <w:tabs>
          <w:tab w:val="right" w:leader="dot" w:pos="8296"/>
        </w:tabs>
        <w:spacing w:line="360" w:lineRule="auto"/>
        <w:rPr>
          <w:rFonts w:hint="eastAsia" w:ascii="宋体" w:hAnsi="宋体" w:eastAsia="宋体"/>
          <w:sz w:val="24"/>
          <w:szCs w:val="24"/>
        </w:rPr>
      </w:pPr>
      <w:r>
        <w:fldChar w:fldCharType="begin"/>
      </w:r>
      <w:r>
        <w:instrText xml:space="preserve"> HYPERLINK \l "_Toc232355753" </w:instrText>
      </w:r>
      <w:r>
        <w:fldChar w:fldCharType="separate"/>
      </w:r>
      <w:r>
        <w:rPr>
          <w:rStyle w:val="29"/>
          <w:rFonts w:ascii="宋体" w:hAnsi="宋体" w:eastAsia="宋体"/>
          <w:sz w:val="24"/>
          <w:szCs w:val="24"/>
        </w:rPr>
        <w:t>2.2 产品整体设计与功能体系</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_Toc232355753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12</w:t>
      </w:r>
      <w:r>
        <w:rPr>
          <w:rFonts w:hint="eastAsia" w:ascii="宋体" w:hAnsi="宋体" w:eastAsia="宋体"/>
          <w:sz w:val="24"/>
          <w:szCs w:val="24"/>
        </w:rPr>
        <w:fldChar w:fldCharType="end"/>
      </w:r>
      <w:r>
        <w:rPr>
          <w:rFonts w:hint="eastAsia" w:ascii="宋体" w:hAnsi="宋体" w:eastAsia="宋体"/>
          <w:sz w:val="24"/>
          <w:szCs w:val="24"/>
        </w:rPr>
        <w:fldChar w:fldCharType="end"/>
      </w:r>
    </w:p>
    <w:p w14:paraId="186D6A03">
      <w:pPr>
        <w:pStyle w:val="14"/>
        <w:tabs>
          <w:tab w:val="right" w:leader="dot" w:pos="8296"/>
        </w:tabs>
        <w:spacing w:line="360" w:lineRule="auto"/>
        <w:rPr>
          <w:rFonts w:hint="eastAsia" w:ascii="宋体" w:hAnsi="宋体" w:eastAsia="宋体"/>
          <w:sz w:val="24"/>
          <w:szCs w:val="24"/>
        </w:rPr>
      </w:pPr>
      <w:r>
        <w:fldChar w:fldCharType="begin"/>
      </w:r>
      <w:r>
        <w:instrText xml:space="preserve"> HYPERLINK \l "_Toc232355754" </w:instrText>
      </w:r>
      <w:r>
        <w:fldChar w:fldCharType="separate"/>
      </w:r>
      <w:r>
        <w:rPr>
          <w:rStyle w:val="29"/>
          <w:rFonts w:ascii="宋体" w:hAnsi="宋体" w:eastAsia="宋体"/>
          <w:sz w:val="24"/>
          <w:szCs w:val="24"/>
        </w:rPr>
        <w:t>2.2.1 整体设计原则</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_Toc232355754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12</w:t>
      </w:r>
      <w:r>
        <w:rPr>
          <w:rFonts w:hint="eastAsia" w:ascii="宋体" w:hAnsi="宋体" w:eastAsia="宋体"/>
          <w:sz w:val="24"/>
          <w:szCs w:val="24"/>
        </w:rPr>
        <w:fldChar w:fldCharType="end"/>
      </w:r>
      <w:r>
        <w:rPr>
          <w:rFonts w:hint="eastAsia" w:ascii="宋体" w:hAnsi="宋体" w:eastAsia="宋体"/>
          <w:sz w:val="24"/>
          <w:szCs w:val="24"/>
        </w:rPr>
        <w:fldChar w:fldCharType="end"/>
      </w:r>
    </w:p>
    <w:p w14:paraId="3888BBF9">
      <w:pPr>
        <w:pStyle w:val="14"/>
        <w:tabs>
          <w:tab w:val="right" w:leader="dot" w:pos="8296"/>
        </w:tabs>
        <w:spacing w:line="360" w:lineRule="auto"/>
        <w:rPr>
          <w:rFonts w:hint="eastAsia" w:ascii="宋体" w:hAnsi="宋体" w:eastAsia="宋体"/>
          <w:sz w:val="24"/>
          <w:szCs w:val="24"/>
        </w:rPr>
      </w:pPr>
      <w:r>
        <w:fldChar w:fldCharType="begin"/>
      </w:r>
      <w:r>
        <w:instrText xml:space="preserve"> HYPERLINK \l "_Toc232355755" </w:instrText>
      </w:r>
      <w:r>
        <w:fldChar w:fldCharType="separate"/>
      </w:r>
      <w:r>
        <w:rPr>
          <w:rStyle w:val="29"/>
          <w:rFonts w:ascii="宋体" w:hAnsi="宋体" w:eastAsia="宋体"/>
          <w:sz w:val="24"/>
          <w:szCs w:val="24"/>
        </w:rPr>
        <w:t>2.2.2 产品矩阵</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_Toc232355755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13</w:t>
      </w:r>
      <w:r>
        <w:rPr>
          <w:rFonts w:hint="eastAsia" w:ascii="宋体" w:hAnsi="宋体" w:eastAsia="宋体"/>
          <w:sz w:val="24"/>
          <w:szCs w:val="24"/>
        </w:rPr>
        <w:fldChar w:fldCharType="end"/>
      </w:r>
      <w:r>
        <w:rPr>
          <w:rFonts w:hint="eastAsia" w:ascii="宋体" w:hAnsi="宋体" w:eastAsia="宋体"/>
          <w:sz w:val="24"/>
          <w:szCs w:val="24"/>
        </w:rPr>
        <w:fldChar w:fldCharType="end"/>
      </w:r>
    </w:p>
    <w:p w14:paraId="70A012D9">
      <w:pPr>
        <w:pStyle w:val="14"/>
        <w:tabs>
          <w:tab w:val="right" w:leader="dot" w:pos="8296"/>
        </w:tabs>
        <w:spacing w:line="360" w:lineRule="auto"/>
        <w:rPr>
          <w:rFonts w:hint="eastAsia" w:ascii="宋体" w:hAnsi="宋体" w:eastAsia="宋体"/>
          <w:sz w:val="24"/>
          <w:szCs w:val="24"/>
        </w:rPr>
      </w:pPr>
      <w:r>
        <w:fldChar w:fldCharType="begin"/>
      </w:r>
      <w:r>
        <w:instrText xml:space="preserve"> HYPERLINK \l "_Toc232355756" </w:instrText>
      </w:r>
      <w:r>
        <w:fldChar w:fldCharType="separate"/>
      </w:r>
      <w:r>
        <w:rPr>
          <w:rStyle w:val="29"/>
          <w:rFonts w:ascii="宋体" w:hAnsi="宋体" w:eastAsia="宋体"/>
          <w:sz w:val="24"/>
          <w:szCs w:val="24"/>
        </w:rPr>
        <w:t>2.2.3 核心功能模块详述</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_Toc232355756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13</w:t>
      </w:r>
      <w:r>
        <w:rPr>
          <w:rFonts w:hint="eastAsia" w:ascii="宋体" w:hAnsi="宋体" w:eastAsia="宋体"/>
          <w:sz w:val="24"/>
          <w:szCs w:val="24"/>
        </w:rPr>
        <w:fldChar w:fldCharType="end"/>
      </w:r>
      <w:r>
        <w:rPr>
          <w:rFonts w:hint="eastAsia" w:ascii="宋体" w:hAnsi="宋体" w:eastAsia="宋体"/>
          <w:sz w:val="24"/>
          <w:szCs w:val="24"/>
        </w:rPr>
        <w:fldChar w:fldCharType="end"/>
      </w:r>
    </w:p>
    <w:p w14:paraId="48001567">
      <w:pPr>
        <w:pStyle w:val="14"/>
        <w:tabs>
          <w:tab w:val="right" w:leader="dot" w:pos="8296"/>
        </w:tabs>
        <w:spacing w:line="360" w:lineRule="auto"/>
        <w:rPr>
          <w:rFonts w:hint="eastAsia" w:ascii="宋体" w:hAnsi="宋体" w:eastAsia="宋体"/>
          <w:sz w:val="24"/>
          <w:szCs w:val="24"/>
        </w:rPr>
      </w:pPr>
      <w:r>
        <w:fldChar w:fldCharType="begin"/>
      </w:r>
      <w:r>
        <w:instrText xml:space="preserve"> HYPERLINK \l "_Toc232355757" </w:instrText>
      </w:r>
      <w:r>
        <w:fldChar w:fldCharType="separate"/>
      </w:r>
      <w:r>
        <w:rPr>
          <w:rStyle w:val="29"/>
          <w:rFonts w:ascii="宋体" w:hAnsi="宋体" w:eastAsia="宋体"/>
          <w:sz w:val="24"/>
          <w:szCs w:val="24"/>
        </w:rPr>
        <w:t>2.2.4 网页平台页面规划</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_Toc232355757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14</w:t>
      </w:r>
      <w:r>
        <w:rPr>
          <w:rFonts w:hint="eastAsia" w:ascii="宋体" w:hAnsi="宋体" w:eastAsia="宋体"/>
          <w:sz w:val="24"/>
          <w:szCs w:val="24"/>
        </w:rPr>
        <w:fldChar w:fldCharType="end"/>
      </w:r>
      <w:r>
        <w:rPr>
          <w:rFonts w:hint="eastAsia" w:ascii="宋体" w:hAnsi="宋体" w:eastAsia="宋体"/>
          <w:sz w:val="24"/>
          <w:szCs w:val="24"/>
        </w:rPr>
        <w:fldChar w:fldCharType="end"/>
      </w:r>
    </w:p>
    <w:p w14:paraId="4641F2F3">
      <w:pPr>
        <w:pStyle w:val="22"/>
        <w:tabs>
          <w:tab w:val="right" w:leader="dot" w:pos="8296"/>
        </w:tabs>
        <w:spacing w:line="360" w:lineRule="auto"/>
        <w:rPr>
          <w:rFonts w:hint="eastAsia" w:ascii="宋体" w:hAnsi="宋体" w:eastAsia="宋体"/>
          <w:sz w:val="24"/>
          <w:szCs w:val="24"/>
        </w:rPr>
      </w:pPr>
      <w:r>
        <w:fldChar w:fldCharType="begin"/>
      </w:r>
      <w:r>
        <w:instrText xml:space="preserve"> HYPERLINK \l "_Toc232355758" </w:instrText>
      </w:r>
      <w:r>
        <w:fldChar w:fldCharType="separate"/>
      </w:r>
      <w:r>
        <w:rPr>
          <w:rStyle w:val="29"/>
          <w:rFonts w:ascii="宋体" w:hAnsi="宋体" w:eastAsia="宋体"/>
          <w:sz w:val="24"/>
          <w:szCs w:val="24"/>
        </w:rPr>
        <w:t>2.3 品牌体系与 IP 衍生产品</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_Toc232355758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15</w:t>
      </w:r>
      <w:r>
        <w:rPr>
          <w:rFonts w:hint="eastAsia" w:ascii="宋体" w:hAnsi="宋体" w:eastAsia="宋体"/>
          <w:sz w:val="24"/>
          <w:szCs w:val="24"/>
        </w:rPr>
        <w:fldChar w:fldCharType="end"/>
      </w:r>
      <w:r>
        <w:rPr>
          <w:rFonts w:hint="eastAsia" w:ascii="宋体" w:hAnsi="宋体" w:eastAsia="宋体"/>
          <w:sz w:val="24"/>
          <w:szCs w:val="24"/>
        </w:rPr>
        <w:fldChar w:fldCharType="end"/>
      </w:r>
    </w:p>
    <w:p w14:paraId="6B1228A5">
      <w:pPr>
        <w:pStyle w:val="14"/>
        <w:tabs>
          <w:tab w:val="right" w:leader="dot" w:pos="8296"/>
        </w:tabs>
        <w:spacing w:line="360" w:lineRule="auto"/>
        <w:rPr>
          <w:rFonts w:hint="eastAsia" w:ascii="宋体" w:hAnsi="宋体" w:eastAsia="宋体"/>
          <w:sz w:val="24"/>
          <w:szCs w:val="24"/>
        </w:rPr>
      </w:pPr>
      <w:r>
        <w:fldChar w:fldCharType="begin"/>
      </w:r>
      <w:r>
        <w:instrText xml:space="preserve"> HYPERLINK \l "_Toc232355759" </w:instrText>
      </w:r>
      <w:r>
        <w:fldChar w:fldCharType="separate"/>
      </w:r>
      <w:r>
        <w:rPr>
          <w:rStyle w:val="29"/>
          <w:rFonts w:ascii="宋体" w:hAnsi="宋体" w:eastAsia="宋体"/>
          <w:sz w:val="24"/>
          <w:szCs w:val="24"/>
        </w:rPr>
        <w:t>2.3.1 基础品牌体系</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_Toc232355759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15</w:t>
      </w:r>
      <w:r>
        <w:rPr>
          <w:rFonts w:hint="eastAsia" w:ascii="宋体" w:hAnsi="宋体" w:eastAsia="宋体"/>
          <w:sz w:val="24"/>
          <w:szCs w:val="24"/>
        </w:rPr>
        <w:fldChar w:fldCharType="end"/>
      </w:r>
      <w:r>
        <w:rPr>
          <w:rFonts w:hint="eastAsia" w:ascii="宋体" w:hAnsi="宋体" w:eastAsia="宋体"/>
          <w:sz w:val="24"/>
          <w:szCs w:val="24"/>
        </w:rPr>
        <w:fldChar w:fldCharType="end"/>
      </w:r>
    </w:p>
    <w:p w14:paraId="32AE3003">
      <w:pPr>
        <w:pStyle w:val="14"/>
        <w:tabs>
          <w:tab w:val="right" w:leader="dot" w:pos="8296"/>
        </w:tabs>
        <w:spacing w:line="360" w:lineRule="auto"/>
        <w:rPr>
          <w:rFonts w:hint="eastAsia" w:ascii="宋体" w:hAnsi="宋体" w:eastAsia="宋体"/>
          <w:sz w:val="24"/>
          <w:szCs w:val="24"/>
        </w:rPr>
      </w:pPr>
      <w:r>
        <w:fldChar w:fldCharType="begin"/>
      </w:r>
      <w:r>
        <w:instrText xml:space="preserve"> HYPERLINK \l "_Toc232355760" </w:instrText>
      </w:r>
      <w:r>
        <w:fldChar w:fldCharType="separate"/>
      </w:r>
      <w:r>
        <w:rPr>
          <w:rStyle w:val="29"/>
          <w:rFonts w:ascii="宋体" w:hAnsi="宋体" w:eastAsia="宋体"/>
          <w:sz w:val="24"/>
          <w:szCs w:val="24"/>
        </w:rPr>
        <w:t>2.3.2 Logo 设计方案</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_Toc232355760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15</w:t>
      </w:r>
      <w:r>
        <w:rPr>
          <w:rFonts w:hint="eastAsia" w:ascii="宋体" w:hAnsi="宋体" w:eastAsia="宋体"/>
          <w:sz w:val="24"/>
          <w:szCs w:val="24"/>
        </w:rPr>
        <w:fldChar w:fldCharType="end"/>
      </w:r>
      <w:r>
        <w:rPr>
          <w:rFonts w:hint="eastAsia" w:ascii="宋体" w:hAnsi="宋体" w:eastAsia="宋体"/>
          <w:sz w:val="24"/>
          <w:szCs w:val="24"/>
        </w:rPr>
        <w:fldChar w:fldCharType="end"/>
      </w:r>
    </w:p>
    <w:p w14:paraId="5F74B67C">
      <w:pPr>
        <w:pStyle w:val="14"/>
        <w:tabs>
          <w:tab w:val="right" w:leader="dot" w:pos="8296"/>
        </w:tabs>
        <w:spacing w:line="360" w:lineRule="auto"/>
        <w:rPr>
          <w:rFonts w:hint="eastAsia" w:ascii="宋体" w:hAnsi="宋体" w:eastAsia="宋体"/>
          <w:sz w:val="24"/>
          <w:szCs w:val="24"/>
        </w:rPr>
      </w:pPr>
      <w:r>
        <w:fldChar w:fldCharType="begin"/>
      </w:r>
      <w:r>
        <w:instrText xml:space="preserve"> HYPERLINK \l "_Toc232355761" </w:instrText>
      </w:r>
      <w:r>
        <w:fldChar w:fldCharType="separate"/>
      </w:r>
      <w:r>
        <w:rPr>
          <w:rStyle w:val="29"/>
          <w:rFonts w:ascii="宋体" w:hAnsi="宋体" w:eastAsia="宋体"/>
          <w:sz w:val="24"/>
          <w:szCs w:val="24"/>
        </w:rPr>
        <w:t>2.3.3 安小宁 IP 周边产品线</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_Toc232355761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15</w:t>
      </w:r>
      <w:r>
        <w:rPr>
          <w:rFonts w:hint="eastAsia" w:ascii="宋体" w:hAnsi="宋体" w:eastAsia="宋体"/>
          <w:sz w:val="24"/>
          <w:szCs w:val="24"/>
        </w:rPr>
        <w:fldChar w:fldCharType="end"/>
      </w:r>
      <w:r>
        <w:rPr>
          <w:rFonts w:hint="eastAsia" w:ascii="宋体" w:hAnsi="宋体" w:eastAsia="宋体"/>
          <w:sz w:val="24"/>
          <w:szCs w:val="24"/>
        </w:rPr>
        <w:fldChar w:fldCharType="end"/>
      </w:r>
    </w:p>
    <w:p w14:paraId="1B899342">
      <w:pPr>
        <w:pStyle w:val="18"/>
        <w:tabs>
          <w:tab w:val="right" w:leader="dot" w:pos="8296"/>
        </w:tabs>
        <w:spacing w:line="360" w:lineRule="auto"/>
        <w:rPr>
          <w:rFonts w:hint="eastAsia" w:ascii="宋体" w:hAnsi="宋体" w:eastAsia="宋体"/>
          <w:sz w:val="24"/>
          <w:szCs w:val="24"/>
        </w:rPr>
      </w:pPr>
      <w:r>
        <w:fldChar w:fldCharType="begin"/>
      </w:r>
      <w:r>
        <w:instrText xml:space="preserve"> HYPERLINK \l "_Toc232355762" </w:instrText>
      </w:r>
      <w:r>
        <w:fldChar w:fldCharType="separate"/>
      </w:r>
      <w:r>
        <w:rPr>
          <w:rStyle w:val="29"/>
          <w:rFonts w:ascii="宋体" w:hAnsi="宋体" w:eastAsia="宋体" w:cs="Times New Roman"/>
          <w:kern w:val="44"/>
          <w:sz w:val="24"/>
          <w:szCs w:val="24"/>
        </w:rPr>
        <w:t>三、核心技术架构与技术支撑</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_Toc232355762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16</w:t>
      </w:r>
      <w:r>
        <w:rPr>
          <w:rFonts w:hint="eastAsia" w:ascii="宋体" w:hAnsi="宋体" w:eastAsia="宋体"/>
          <w:sz w:val="24"/>
          <w:szCs w:val="24"/>
        </w:rPr>
        <w:fldChar w:fldCharType="end"/>
      </w:r>
      <w:r>
        <w:rPr>
          <w:rFonts w:hint="eastAsia" w:ascii="宋体" w:hAnsi="宋体" w:eastAsia="宋体"/>
          <w:sz w:val="24"/>
          <w:szCs w:val="24"/>
        </w:rPr>
        <w:fldChar w:fldCharType="end"/>
      </w:r>
    </w:p>
    <w:p w14:paraId="07E30726">
      <w:pPr>
        <w:pStyle w:val="22"/>
        <w:tabs>
          <w:tab w:val="right" w:leader="dot" w:pos="8296"/>
        </w:tabs>
        <w:spacing w:line="360" w:lineRule="auto"/>
        <w:rPr>
          <w:rFonts w:hint="eastAsia" w:ascii="宋体" w:hAnsi="宋体" w:eastAsia="宋体"/>
          <w:sz w:val="24"/>
          <w:szCs w:val="24"/>
        </w:rPr>
      </w:pPr>
      <w:r>
        <w:fldChar w:fldCharType="begin"/>
      </w:r>
      <w:r>
        <w:instrText xml:space="preserve"> HYPERLINK \l "_Toc232355763" </w:instrText>
      </w:r>
      <w:r>
        <w:fldChar w:fldCharType="separate"/>
      </w:r>
      <w:r>
        <w:rPr>
          <w:rStyle w:val="29"/>
          <w:rFonts w:ascii="宋体" w:hAnsi="宋体" w:eastAsia="宋体" w:cs="Times New Roman"/>
          <w:kern w:val="0"/>
          <w:sz w:val="24"/>
          <w:szCs w:val="24"/>
        </w:rPr>
        <w:t>3.1 整体技术架构总览</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_Toc232355763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16</w:t>
      </w:r>
      <w:r>
        <w:rPr>
          <w:rFonts w:hint="eastAsia" w:ascii="宋体" w:hAnsi="宋体" w:eastAsia="宋体"/>
          <w:sz w:val="24"/>
          <w:szCs w:val="24"/>
        </w:rPr>
        <w:fldChar w:fldCharType="end"/>
      </w:r>
      <w:r>
        <w:rPr>
          <w:rFonts w:hint="eastAsia" w:ascii="宋体" w:hAnsi="宋体" w:eastAsia="宋体"/>
          <w:sz w:val="24"/>
          <w:szCs w:val="24"/>
        </w:rPr>
        <w:fldChar w:fldCharType="end"/>
      </w:r>
    </w:p>
    <w:p w14:paraId="2B95EAD0">
      <w:pPr>
        <w:pStyle w:val="14"/>
        <w:tabs>
          <w:tab w:val="right" w:leader="dot" w:pos="8296"/>
        </w:tabs>
        <w:spacing w:line="360" w:lineRule="auto"/>
        <w:rPr>
          <w:rFonts w:hint="eastAsia" w:ascii="宋体" w:hAnsi="宋体" w:eastAsia="宋体"/>
          <w:sz w:val="24"/>
          <w:szCs w:val="24"/>
        </w:rPr>
      </w:pPr>
      <w:r>
        <w:fldChar w:fldCharType="begin"/>
      </w:r>
      <w:r>
        <w:instrText xml:space="preserve"> HYPERLINK \l "_Toc232355764" </w:instrText>
      </w:r>
      <w:r>
        <w:fldChar w:fldCharType="separate"/>
      </w:r>
      <w:r>
        <w:rPr>
          <w:rStyle w:val="29"/>
          <w:rFonts w:ascii="宋体" w:hAnsi="宋体" w:eastAsia="宋体" w:cs="Times New Roman"/>
          <w:kern w:val="0"/>
          <w:sz w:val="24"/>
          <w:szCs w:val="24"/>
        </w:rPr>
        <w:t>3.1.1 完整六层架构详解</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_Toc232355764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16</w:t>
      </w:r>
      <w:r>
        <w:rPr>
          <w:rFonts w:hint="eastAsia" w:ascii="宋体" w:hAnsi="宋体" w:eastAsia="宋体"/>
          <w:sz w:val="24"/>
          <w:szCs w:val="24"/>
        </w:rPr>
        <w:fldChar w:fldCharType="end"/>
      </w:r>
      <w:r>
        <w:rPr>
          <w:rFonts w:hint="eastAsia" w:ascii="宋体" w:hAnsi="宋体" w:eastAsia="宋体"/>
          <w:sz w:val="24"/>
          <w:szCs w:val="24"/>
        </w:rPr>
        <w:fldChar w:fldCharType="end"/>
      </w:r>
    </w:p>
    <w:p w14:paraId="315DF545">
      <w:pPr>
        <w:pStyle w:val="22"/>
        <w:tabs>
          <w:tab w:val="right" w:leader="dot" w:pos="8296"/>
        </w:tabs>
        <w:spacing w:line="360" w:lineRule="auto"/>
        <w:rPr>
          <w:rFonts w:hint="eastAsia" w:ascii="宋体" w:hAnsi="宋体" w:eastAsia="宋体"/>
          <w:sz w:val="24"/>
          <w:szCs w:val="24"/>
        </w:rPr>
      </w:pPr>
      <w:r>
        <w:fldChar w:fldCharType="begin"/>
      </w:r>
      <w:r>
        <w:instrText xml:space="preserve"> HYPERLINK \l "_Toc232355765" </w:instrText>
      </w:r>
      <w:r>
        <w:fldChar w:fldCharType="separate"/>
      </w:r>
      <w:r>
        <w:rPr>
          <w:rStyle w:val="29"/>
          <w:rFonts w:ascii="宋体" w:hAnsi="宋体" w:eastAsia="宋体" w:cs="Times New Roman"/>
          <w:kern w:val="0"/>
          <w:sz w:val="24"/>
          <w:szCs w:val="24"/>
        </w:rPr>
        <w:t>3.2 核心技术详解</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_Toc232355765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17</w:t>
      </w:r>
      <w:r>
        <w:rPr>
          <w:rFonts w:hint="eastAsia" w:ascii="宋体" w:hAnsi="宋体" w:eastAsia="宋体"/>
          <w:sz w:val="24"/>
          <w:szCs w:val="24"/>
        </w:rPr>
        <w:fldChar w:fldCharType="end"/>
      </w:r>
      <w:r>
        <w:rPr>
          <w:rFonts w:hint="eastAsia" w:ascii="宋体" w:hAnsi="宋体" w:eastAsia="宋体"/>
          <w:sz w:val="24"/>
          <w:szCs w:val="24"/>
        </w:rPr>
        <w:fldChar w:fldCharType="end"/>
      </w:r>
    </w:p>
    <w:p w14:paraId="7C972B62">
      <w:pPr>
        <w:pStyle w:val="14"/>
        <w:tabs>
          <w:tab w:val="right" w:leader="dot" w:pos="8296"/>
        </w:tabs>
        <w:spacing w:line="360" w:lineRule="auto"/>
        <w:rPr>
          <w:rFonts w:hint="eastAsia" w:ascii="宋体" w:hAnsi="宋体" w:eastAsia="宋体"/>
          <w:sz w:val="24"/>
          <w:szCs w:val="24"/>
        </w:rPr>
      </w:pPr>
      <w:r>
        <w:fldChar w:fldCharType="begin"/>
      </w:r>
      <w:r>
        <w:instrText xml:space="preserve"> HYPERLINK \l "_Toc232355766" </w:instrText>
      </w:r>
      <w:r>
        <w:fldChar w:fldCharType="separate"/>
      </w:r>
      <w:r>
        <w:rPr>
          <w:rStyle w:val="29"/>
          <w:rFonts w:ascii="宋体" w:hAnsi="宋体" w:eastAsia="宋体" w:cs="Times New Roman"/>
          <w:kern w:val="0"/>
          <w:sz w:val="24"/>
          <w:szCs w:val="24"/>
        </w:rPr>
        <w:t>3.2.1 多模态传感融合前端</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_Toc232355766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17</w:t>
      </w:r>
      <w:r>
        <w:rPr>
          <w:rFonts w:hint="eastAsia" w:ascii="宋体" w:hAnsi="宋体" w:eastAsia="宋体"/>
          <w:sz w:val="24"/>
          <w:szCs w:val="24"/>
        </w:rPr>
        <w:fldChar w:fldCharType="end"/>
      </w:r>
      <w:r>
        <w:rPr>
          <w:rFonts w:hint="eastAsia" w:ascii="宋体" w:hAnsi="宋体" w:eastAsia="宋体"/>
          <w:sz w:val="24"/>
          <w:szCs w:val="24"/>
        </w:rPr>
        <w:fldChar w:fldCharType="end"/>
      </w:r>
    </w:p>
    <w:p w14:paraId="4E684E34">
      <w:pPr>
        <w:pStyle w:val="14"/>
        <w:tabs>
          <w:tab w:val="right" w:leader="dot" w:pos="8296"/>
        </w:tabs>
        <w:spacing w:line="360" w:lineRule="auto"/>
        <w:rPr>
          <w:rFonts w:hint="eastAsia" w:ascii="宋体" w:hAnsi="宋体" w:eastAsia="宋体"/>
          <w:sz w:val="24"/>
          <w:szCs w:val="24"/>
        </w:rPr>
      </w:pPr>
      <w:r>
        <w:fldChar w:fldCharType="begin"/>
      </w:r>
      <w:r>
        <w:instrText xml:space="preserve"> HYPERLINK \l "_Toc232355767" </w:instrText>
      </w:r>
      <w:r>
        <w:fldChar w:fldCharType="separate"/>
      </w:r>
      <w:r>
        <w:rPr>
          <w:rStyle w:val="29"/>
          <w:rFonts w:ascii="宋体" w:hAnsi="宋体" w:eastAsia="宋体" w:cs="Times New Roman"/>
          <w:kern w:val="0"/>
          <w:sz w:val="24"/>
          <w:szCs w:val="24"/>
        </w:rPr>
        <w:t>3.3.2 YOLO视觉动作识别模型</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_Toc232355767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17</w:t>
      </w:r>
      <w:r>
        <w:rPr>
          <w:rFonts w:hint="eastAsia" w:ascii="宋体" w:hAnsi="宋体" w:eastAsia="宋体"/>
          <w:sz w:val="24"/>
          <w:szCs w:val="24"/>
        </w:rPr>
        <w:fldChar w:fldCharType="end"/>
      </w:r>
      <w:r>
        <w:rPr>
          <w:rFonts w:hint="eastAsia" w:ascii="宋体" w:hAnsi="宋体" w:eastAsia="宋体"/>
          <w:sz w:val="24"/>
          <w:szCs w:val="24"/>
        </w:rPr>
        <w:fldChar w:fldCharType="end"/>
      </w:r>
    </w:p>
    <w:p w14:paraId="128D079F">
      <w:pPr>
        <w:pStyle w:val="14"/>
        <w:tabs>
          <w:tab w:val="left" w:pos="1760"/>
          <w:tab w:val="right" w:leader="dot" w:pos="8296"/>
        </w:tabs>
        <w:spacing w:line="360" w:lineRule="auto"/>
        <w:rPr>
          <w:rFonts w:hint="eastAsia" w:ascii="宋体" w:hAnsi="宋体" w:eastAsia="宋体"/>
          <w:sz w:val="24"/>
          <w:szCs w:val="24"/>
        </w:rPr>
      </w:pPr>
      <w:r>
        <w:fldChar w:fldCharType="begin"/>
      </w:r>
      <w:r>
        <w:instrText xml:space="preserve"> HYPERLINK \l "_Toc232355771" </w:instrText>
      </w:r>
      <w:r>
        <w:fldChar w:fldCharType="separate"/>
      </w:r>
      <w:r>
        <w:rPr>
          <w:rStyle w:val="29"/>
          <w:rFonts w:ascii="宋体" w:hAnsi="宋体" w:eastAsia="宋体" w:cs="Times New Roman"/>
          <w:kern w:val="0"/>
          <w:sz w:val="24"/>
          <w:szCs w:val="24"/>
        </w:rPr>
        <w:t>3.2.3</w:t>
      </w:r>
      <w:r>
        <w:rPr>
          <w:rFonts w:hint="eastAsia" w:ascii="宋体" w:hAnsi="宋体" w:eastAsia="宋体"/>
          <w:sz w:val="24"/>
          <w:szCs w:val="24"/>
        </w:rPr>
        <w:tab/>
      </w:r>
      <w:r>
        <w:rPr>
          <w:rStyle w:val="29"/>
          <w:rFonts w:ascii="宋体" w:hAnsi="宋体" w:eastAsia="宋体" w:cs="Times New Roman"/>
          <w:kern w:val="0"/>
          <w:sz w:val="24"/>
          <w:szCs w:val="24"/>
        </w:rPr>
        <w:t>Bi-LSTM+CNN异常检测算法</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_Toc232355771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17</w:t>
      </w:r>
      <w:r>
        <w:rPr>
          <w:rFonts w:hint="eastAsia" w:ascii="宋体" w:hAnsi="宋体" w:eastAsia="宋体"/>
          <w:sz w:val="24"/>
          <w:szCs w:val="24"/>
        </w:rPr>
        <w:fldChar w:fldCharType="end"/>
      </w:r>
      <w:r>
        <w:rPr>
          <w:rFonts w:hint="eastAsia" w:ascii="宋体" w:hAnsi="宋体" w:eastAsia="宋体"/>
          <w:sz w:val="24"/>
          <w:szCs w:val="24"/>
        </w:rPr>
        <w:fldChar w:fldCharType="end"/>
      </w:r>
    </w:p>
    <w:p w14:paraId="476A135C">
      <w:pPr>
        <w:pStyle w:val="14"/>
        <w:tabs>
          <w:tab w:val="right" w:leader="dot" w:pos="8296"/>
        </w:tabs>
        <w:spacing w:line="360" w:lineRule="auto"/>
        <w:rPr>
          <w:rFonts w:hint="eastAsia" w:ascii="宋体" w:hAnsi="宋体" w:eastAsia="宋体"/>
          <w:sz w:val="24"/>
          <w:szCs w:val="24"/>
        </w:rPr>
      </w:pPr>
      <w:r>
        <w:fldChar w:fldCharType="begin"/>
      </w:r>
      <w:r>
        <w:instrText xml:space="preserve"> HYPERLINK \l "_Toc232355772" </w:instrText>
      </w:r>
      <w:r>
        <w:fldChar w:fldCharType="separate"/>
      </w:r>
      <w:r>
        <w:rPr>
          <w:rStyle w:val="29"/>
          <w:rFonts w:ascii="宋体" w:hAnsi="宋体" w:eastAsia="宋体" w:cs="Times New Roman"/>
          <w:kern w:val="0"/>
          <w:sz w:val="24"/>
          <w:szCs w:val="24"/>
        </w:rPr>
        <w:t>3.2.4 数字心理疗愈引擎</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_Toc232355772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18</w:t>
      </w:r>
      <w:r>
        <w:rPr>
          <w:rFonts w:hint="eastAsia" w:ascii="宋体" w:hAnsi="宋体" w:eastAsia="宋体"/>
          <w:sz w:val="24"/>
          <w:szCs w:val="24"/>
        </w:rPr>
        <w:fldChar w:fldCharType="end"/>
      </w:r>
      <w:r>
        <w:rPr>
          <w:rFonts w:hint="eastAsia" w:ascii="宋体" w:hAnsi="宋体" w:eastAsia="宋体"/>
          <w:sz w:val="24"/>
          <w:szCs w:val="24"/>
        </w:rPr>
        <w:fldChar w:fldCharType="end"/>
      </w:r>
    </w:p>
    <w:p w14:paraId="4B759DE4">
      <w:pPr>
        <w:pStyle w:val="14"/>
        <w:tabs>
          <w:tab w:val="right" w:leader="dot" w:pos="8296"/>
        </w:tabs>
        <w:spacing w:line="360" w:lineRule="auto"/>
        <w:rPr>
          <w:rFonts w:hint="eastAsia" w:ascii="宋体" w:hAnsi="宋体" w:eastAsia="宋体"/>
          <w:sz w:val="24"/>
          <w:szCs w:val="24"/>
        </w:rPr>
      </w:pPr>
      <w:r>
        <w:fldChar w:fldCharType="begin"/>
      </w:r>
      <w:r>
        <w:instrText xml:space="preserve"> HYPERLINK \l "_Toc232355773" </w:instrText>
      </w:r>
      <w:r>
        <w:fldChar w:fldCharType="separate"/>
      </w:r>
      <w:r>
        <w:rPr>
          <w:rStyle w:val="29"/>
          <w:rFonts w:ascii="宋体" w:hAnsi="宋体" w:eastAsia="宋体" w:cs="Times New Roman"/>
          <w:kern w:val="0"/>
          <w:sz w:val="24"/>
          <w:szCs w:val="24"/>
        </w:rPr>
        <w:t>3.2.5 后端架构与接口规范</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_Toc232355773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18</w:t>
      </w:r>
      <w:r>
        <w:rPr>
          <w:rFonts w:hint="eastAsia" w:ascii="宋体" w:hAnsi="宋体" w:eastAsia="宋体"/>
          <w:sz w:val="24"/>
          <w:szCs w:val="24"/>
        </w:rPr>
        <w:fldChar w:fldCharType="end"/>
      </w:r>
      <w:r>
        <w:rPr>
          <w:rFonts w:hint="eastAsia" w:ascii="宋体" w:hAnsi="宋体" w:eastAsia="宋体"/>
          <w:sz w:val="24"/>
          <w:szCs w:val="24"/>
        </w:rPr>
        <w:fldChar w:fldCharType="end"/>
      </w:r>
    </w:p>
    <w:p w14:paraId="7A371C20">
      <w:pPr>
        <w:pStyle w:val="22"/>
        <w:tabs>
          <w:tab w:val="right" w:leader="dot" w:pos="8296"/>
        </w:tabs>
        <w:spacing w:line="360" w:lineRule="auto"/>
        <w:rPr>
          <w:rFonts w:hint="eastAsia" w:ascii="宋体" w:hAnsi="宋体" w:eastAsia="宋体"/>
          <w:sz w:val="24"/>
          <w:szCs w:val="24"/>
        </w:rPr>
      </w:pPr>
      <w:r>
        <w:fldChar w:fldCharType="begin"/>
      </w:r>
      <w:r>
        <w:instrText xml:space="preserve"> HYPERLINK \l "_Toc232355774" </w:instrText>
      </w:r>
      <w:r>
        <w:fldChar w:fldCharType="separate"/>
      </w:r>
      <w:r>
        <w:rPr>
          <w:rStyle w:val="29"/>
          <w:rFonts w:ascii="宋体" w:hAnsi="宋体" w:eastAsia="宋体" w:cs="Times New Roman"/>
          <w:kern w:val="0"/>
          <w:sz w:val="24"/>
          <w:szCs w:val="24"/>
        </w:rPr>
        <w:t>3.3 MVP开发计划</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_Toc232355774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18</w:t>
      </w:r>
      <w:r>
        <w:rPr>
          <w:rFonts w:hint="eastAsia" w:ascii="宋体" w:hAnsi="宋体" w:eastAsia="宋体"/>
          <w:sz w:val="24"/>
          <w:szCs w:val="24"/>
        </w:rPr>
        <w:fldChar w:fldCharType="end"/>
      </w:r>
      <w:r>
        <w:rPr>
          <w:rFonts w:hint="eastAsia" w:ascii="宋体" w:hAnsi="宋体" w:eastAsia="宋体"/>
          <w:sz w:val="24"/>
          <w:szCs w:val="24"/>
        </w:rPr>
        <w:fldChar w:fldCharType="end"/>
      </w:r>
    </w:p>
    <w:p w14:paraId="2F3EF1D6">
      <w:pPr>
        <w:pStyle w:val="22"/>
        <w:tabs>
          <w:tab w:val="right" w:leader="dot" w:pos="8296"/>
        </w:tabs>
        <w:spacing w:line="360" w:lineRule="auto"/>
        <w:rPr>
          <w:rFonts w:hint="eastAsia" w:ascii="宋体" w:hAnsi="宋体" w:eastAsia="宋体"/>
          <w:sz w:val="24"/>
          <w:szCs w:val="24"/>
        </w:rPr>
      </w:pPr>
      <w:r>
        <w:fldChar w:fldCharType="begin"/>
      </w:r>
      <w:r>
        <w:instrText xml:space="preserve"> HYPERLINK \l "_Toc232355775" </w:instrText>
      </w:r>
      <w:r>
        <w:fldChar w:fldCharType="separate"/>
      </w:r>
      <w:r>
        <w:rPr>
          <w:rStyle w:val="29"/>
          <w:rFonts w:ascii="宋体" w:hAnsi="宋体" w:eastAsia="宋体" w:cs="Times New Roman"/>
          <w:kern w:val="0"/>
          <w:sz w:val="24"/>
          <w:szCs w:val="24"/>
        </w:rPr>
        <w:t>3.4 用户获取与运营策略</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_Toc232355775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19</w:t>
      </w:r>
      <w:r>
        <w:rPr>
          <w:rFonts w:hint="eastAsia" w:ascii="宋体" w:hAnsi="宋体" w:eastAsia="宋体"/>
          <w:sz w:val="24"/>
          <w:szCs w:val="24"/>
        </w:rPr>
        <w:fldChar w:fldCharType="end"/>
      </w:r>
      <w:r>
        <w:rPr>
          <w:rFonts w:hint="eastAsia" w:ascii="宋体" w:hAnsi="宋体" w:eastAsia="宋体"/>
          <w:sz w:val="24"/>
          <w:szCs w:val="24"/>
        </w:rPr>
        <w:fldChar w:fldCharType="end"/>
      </w:r>
    </w:p>
    <w:p w14:paraId="1CD05C1C">
      <w:pPr>
        <w:pStyle w:val="14"/>
        <w:tabs>
          <w:tab w:val="right" w:leader="dot" w:pos="8296"/>
        </w:tabs>
        <w:spacing w:line="360" w:lineRule="auto"/>
        <w:rPr>
          <w:rFonts w:hint="eastAsia" w:ascii="宋体" w:hAnsi="宋体" w:eastAsia="宋体"/>
          <w:sz w:val="24"/>
          <w:szCs w:val="24"/>
        </w:rPr>
      </w:pPr>
      <w:r>
        <w:fldChar w:fldCharType="begin"/>
      </w:r>
      <w:r>
        <w:instrText xml:space="preserve"> HYPERLINK \l "_Toc232355776" </w:instrText>
      </w:r>
      <w:r>
        <w:fldChar w:fldCharType="separate"/>
      </w:r>
      <w:r>
        <w:rPr>
          <w:rStyle w:val="29"/>
          <w:rFonts w:ascii="宋体" w:hAnsi="宋体" w:eastAsia="宋体" w:cs="Times New Roman"/>
          <w:kern w:val="0"/>
          <w:sz w:val="24"/>
          <w:szCs w:val="24"/>
        </w:rPr>
        <w:t>3.4.1 C端获客：B2B2C五道触达机制</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_Toc232355776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19</w:t>
      </w:r>
      <w:r>
        <w:rPr>
          <w:rFonts w:hint="eastAsia" w:ascii="宋体" w:hAnsi="宋体" w:eastAsia="宋体"/>
          <w:sz w:val="24"/>
          <w:szCs w:val="24"/>
        </w:rPr>
        <w:fldChar w:fldCharType="end"/>
      </w:r>
      <w:r>
        <w:rPr>
          <w:rFonts w:hint="eastAsia" w:ascii="宋体" w:hAnsi="宋体" w:eastAsia="宋体"/>
          <w:sz w:val="24"/>
          <w:szCs w:val="24"/>
        </w:rPr>
        <w:fldChar w:fldCharType="end"/>
      </w:r>
    </w:p>
    <w:p w14:paraId="006A6EF3">
      <w:pPr>
        <w:pStyle w:val="14"/>
        <w:tabs>
          <w:tab w:val="right" w:leader="dot" w:pos="8296"/>
        </w:tabs>
        <w:spacing w:line="360" w:lineRule="auto"/>
        <w:rPr>
          <w:rFonts w:hint="eastAsia" w:ascii="宋体" w:hAnsi="宋体" w:eastAsia="宋体"/>
          <w:sz w:val="24"/>
          <w:szCs w:val="24"/>
        </w:rPr>
      </w:pPr>
      <w:r>
        <w:fldChar w:fldCharType="begin"/>
      </w:r>
      <w:r>
        <w:instrText xml:space="preserve"> HYPERLINK \l "_Toc232355777" </w:instrText>
      </w:r>
      <w:r>
        <w:fldChar w:fldCharType="separate"/>
      </w:r>
      <w:r>
        <w:rPr>
          <w:rStyle w:val="29"/>
          <w:rFonts w:ascii="宋体" w:hAnsi="宋体" w:eastAsia="宋体" w:cs="Times New Roman"/>
          <w:kern w:val="0"/>
          <w:sz w:val="24"/>
          <w:szCs w:val="24"/>
        </w:rPr>
        <w:t>3.4.2 B端获客：轻量试点→机构采购的渐进路径</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_Toc232355777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19</w:t>
      </w:r>
      <w:r>
        <w:rPr>
          <w:rFonts w:hint="eastAsia" w:ascii="宋体" w:hAnsi="宋体" w:eastAsia="宋体"/>
          <w:sz w:val="24"/>
          <w:szCs w:val="24"/>
        </w:rPr>
        <w:fldChar w:fldCharType="end"/>
      </w:r>
      <w:r>
        <w:rPr>
          <w:rFonts w:hint="eastAsia" w:ascii="宋体" w:hAnsi="宋体" w:eastAsia="宋体"/>
          <w:sz w:val="24"/>
          <w:szCs w:val="24"/>
        </w:rPr>
        <w:fldChar w:fldCharType="end"/>
      </w:r>
    </w:p>
    <w:p w14:paraId="0E2F0C6A">
      <w:pPr>
        <w:pStyle w:val="14"/>
        <w:tabs>
          <w:tab w:val="right" w:leader="dot" w:pos="8296"/>
        </w:tabs>
        <w:spacing w:line="360" w:lineRule="auto"/>
        <w:rPr>
          <w:rFonts w:hint="eastAsia" w:ascii="宋体" w:hAnsi="宋体" w:eastAsia="宋体"/>
          <w:sz w:val="24"/>
          <w:szCs w:val="24"/>
        </w:rPr>
      </w:pPr>
      <w:r>
        <w:fldChar w:fldCharType="begin"/>
      </w:r>
      <w:r>
        <w:instrText xml:space="preserve"> HYPERLINK \l "_Toc232355778" </w:instrText>
      </w:r>
      <w:r>
        <w:fldChar w:fldCharType="separate"/>
      </w:r>
      <w:r>
        <w:rPr>
          <w:rStyle w:val="29"/>
          <w:rFonts w:ascii="宋体" w:hAnsi="宋体" w:eastAsia="宋体" w:cs="Times New Roman"/>
          <w:kern w:val="0"/>
          <w:sz w:val="24"/>
          <w:szCs w:val="24"/>
        </w:rPr>
        <w:t>3.4.3 家庭版延展：存量唤醒+亲友社群</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_Toc232355778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20</w:t>
      </w:r>
      <w:r>
        <w:rPr>
          <w:rFonts w:hint="eastAsia" w:ascii="宋体" w:hAnsi="宋体" w:eastAsia="宋体"/>
          <w:sz w:val="24"/>
          <w:szCs w:val="24"/>
        </w:rPr>
        <w:fldChar w:fldCharType="end"/>
      </w:r>
      <w:r>
        <w:rPr>
          <w:rFonts w:hint="eastAsia" w:ascii="宋体" w:hAnsi="宋体" w:eastAsia="宋体"/>
          <w:sz w:val="24"/>
          <w:szCs w:val="24"/>
        </w:rPr>
        <w:fldChar w:fldCharType="end"/>
      </w:r>
    </w:p>
    <w:p w14:paraId="3DFBF176">
      <w:pPr>
        <w:pStyle w:val="22"/>
        <w:tabs>
          <w:tab w:val="right" w:leader="dot" w:pos="8296"/>
        </w:tabs>
        <w:spacing w:line="360" w:lineRule="auto"/>
        <w:rPr>
          <w:rFonts w:hint="eastAsia" w:ascii="宋体" w:hAnsi="宋体" w:eastAsia="宋体"/>
          <w:sz w:val="24"/>
          <w:szCs w:val="24"/>
        </w:rPr>
      </w:pPr>
      <w:r>
        <w:fldChar w:fldCharType="begin"/>
      </w:r>
      <w:r>
        <w:instrText xml:space="preserve"> HYPERLINK \l "_Toc232355779" </w:instrText>
      </w:r>
      <w:r>
        <w:fldChar w:fldCharType="separate"/>
      </w:r>
      <w:r>
        <w:rPr>
          <w:rStyle w:val="29"/>
          <w:rFonts w:ascii="宋体" w:hAnsi="宋体" w:eastAsia="宋体" w:cs="Times New Roman"/>
          <w:kern w:val="0"/>
          <w:sz w:val="24"/>
          <w:szCs w:val="24"/>
        </w:rPr>
        <w:t>3.5 数据安全与隐私保护</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_Toc232355779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20</w:t>
      </w:r>
      <w:r>
        <w:rPr>
          <w:rFonts w:hint="eastAsia" w:ascii="宋体" w:hAnsi="宋体" w:eastAsia="宋体"/>
          <w:sz w:val="24"/>
          <w:szCs w:val="24"/>
        </w:rPr>
        <w:fldChar w:fldCharType="end"/>
      </w:r>
      <w:r>
        <w:rPr>
          <w:rFonts w:hint="eastAsia" w:ascii="宋体" w:hAnsi="宋体" w:eastAsia="宋体"/>
          <w:sz w:val="24"/>
          <w:szCs w:val="24"/>
        </w:rPr>
        <w:fldChar w:fldCharType="end"/>
      </w:r>
    </w:p>
    <w:p w14:paraId="056B0EA1">
      <w:pPr>
        <w:pStyle w:val="18"/>
        <w:tabs>
          <w:tab w:val="right" w:leader="dot" w:pos="8296"/>
        </w:tabs>
        <w:spacing w:line="360" w:lineRule="auto"/>
        <w:rPr>
          <w:rFonts w:hint="eastAsia" w:ascii="宋体" w:hAnsi="宋体" w:eastAsia="宋体"/>
          <w:sz w:val="24"/>
          <w:szCs w:val="24"/>
        </w:rPr>
      </w:pPr>
      <w:r>
        <w:fldChar w:fldCharType="begin"/>
      </w:r>
      <w:r>
        <w:instrText xml:space="preserve"> HYPERLINK \l "_Toc232355780" </w:instrText>
      </w:r>
      <w:r>
        <w:fldChar w:fldCharType="separate"/>
      </w:r>
      <w:r>
        <w:rPr>
          <w:rStyle w:val="29"/>
          <w:rFonts w:ascii="宋体" w:hAnsi="宋体" w:eastAsia="宋体" w:cs="Times New Roman"/>
          <w:kern w:val="44"/>
          <w:sz w:val="24"/>
          <w:szCs w:val="24"/>
        </w:rPr>
        <w:t>四、商业模式与盈利规划</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_Toc232355780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20</w:t>
      </w:r>
      <w:r>
        <w:rPr>
          <w:rFonts w:hint="eastAsia" w:ascii="宋体" w:hAnsi="宋体" w:eastAsia="宋体"/>
          <w:sz w:val="24"/>
          <w:szCs w:val="24"/>
        </w:rPr>
        <w:fldChar w:fldCharType="end"/>
      </w:r>
      <w:r>
        <w:rPr>
          <w:rFonts w:hint="eastAsia" w:ascii="宋体" w:hAnsi="宋体" w:eastAsia="宋体"/>
          <w:sz w:val="24"/>
          <w:szCs w:val="24"/>
        </w:rPr>
        <w:fldChar w:fldCharType="end"/>
      </w:r>
    </w:p>
    <w:p w14:paraId="771CEEAE">
      <w:pPr>
        <w:pStyle w:val="22"/>
        <w:tabs>
          <w:tab w:val="right" w:leader="dot" w:pos="8296"/>
        </w:tabs>
        <w:spacing w:line="360" w:lineRule="auto"/>
        <w:rPr>
          <w:rFonts w:hint="eastAsia" w:ascii="宋体" w:hAnsi="宋体" w:eastAsia="宋体"/>
          <w:sz w:val="24"/>
          <w:szCs w:val="24"/>
        </w:rPr>
      </w:pPr>
      <w:r>
        <w:fldChar w:fldCharType="begin"/>
      </w:r>
      <w:r>
        <w:instrText xml:space="preserve"> HYPERLINK \l "_Toc232355781" </w:instrText>
      </w:r>
      <w:r>
        <w:fldChar w:fldCharType="separate"/>
      </w:r>
      <w:r>
        <w:rPr>
          <w:rStyle w:val="29"/>
          <w:rFonts w:ascii="宋体" w:hAnsi="宋体" w:eastAsia="宋体" w:cs="Times New Roman"/>
          <w:kern w:val="0"/>
          <w:sz w:val="24"/>
          <w:szCs w:val="24"/>
        </w:rPr>
        <w:t>4.1 商业模式概述</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_Toc232355781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20</w:t>
      </w:r>
      <w:r>
        <w:rPr>
          <w:rFonts w:hint="eastAsia" w:ascii="宋体" w:hAnsi="宋体" w:eastAsia="宋体"/>
          <w:sz w:val="24"/>
          <w:szCs w:val="24"/>
        </w:rPr>
        <w:fldChar w:fldCharType="end"/>
      </w:r>
      <w:r>
        <w:rPr>
          <w:rFonts w:hint="eastAsia" w:ascii="宋体" w:hAnsi="宋体" w:eastAsia="宋体"/>
          <w:sz w:val="24"/>
          <w:szCs w:val="24"/>
        </w:rPr>
        <w:fldChar w:fldCharType="end"/>
      </w:r>
    </w:p>
    <w:p w14:paraId="2BFD9242">
      <w:pPr>
        <w:pStyle w:val="14"/>
        <w:tabs>
          <w:tab w:val="right" w:leader="dot" w:pos="8296"/>
        </w:tabs>
        <w:spacing w:line="360" w:lineRule="auto"/>
        <w:rPr>
          <w:rFonts w:hint="eastAsia" w:ascii="宋体" w:hAnsi="宋体" w:eastAsia="宋体"/>
          <w:sz w:val="24"/>
          <w:szCs w:val="24"/>
        </w:rPr>
      </w:pPr>
      <w:r>
        <w:fldChar w:fldCharType="begin"/>
      </w:r>
      <w:r>
        <w:instrText xml:space="preserve"> HYPERLINK \l "_Toc232355782" </w:instrText>
      </w:r>
      <w:r>
        <w:fldChar w:fldCharType="separate"/>
      </w:r>
      <w:r>
        <w:rPr>
          <w:rStyle w:val="29"/>
          <w:rFonts w:ascii="宋体" w:hAnsi="宋体" w:eastAsia="宋体" w:cs="Times New Roman"/>
          <w:kern w:val="0"/>
          <w:sz w:val="24"/>
          <w:szCs w:val="24"/>
        </w:rPr>
        <w:t>4.1.1五条核心收入线</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_Toc232355782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20</w:t>
      </w:r>
      <w:r>
        <w:rPr>
          <w:rFonts w:hint="eastAsia" w:ascii="宋体" w:hAnsi="宋体" w:eastAsia="宋体"/>
          <w:sz w:val="24"/>
          <w:szCs w:val="24"/>
        </w:rPr>
        <w:fldChar w:fldCharType="end"/>
      </w:r>
      <w:r>
        <w:rPr>
          <w:rFonts w:hint="eastAsia" w:ascii="宋体" w:hAnsi="宋体" w:eastAsia="宋体"/>
          <w:sz w:val="24"/>
          <w:szCs w:val="24"/>
        </w:rPr>
        <w:fldChar w:fldCharType="end"/>
      </w:r>
    </w:p>
    <w:p w14:paraId="39E0A9FF">
      <w:pPr>
        <w:pStyle w:val="14"/>
        <w:tabs>
          <w:tab w:val="right" w:leader="dot" w:pos="8296"/>
        </w:tabs>
        <w:spacing w:line="360" w:lineRule="auto"/>
        <w:rPr>
          <w:rFonts w:hint="eastAsia" w:ascii="宋体" w:hAnsi="宋体" w:eastAsia="宋体"/>
          <w:sz w:val="24"/>
          <w:szCs w:val="24"/>
        </w:rPr>
      </w:pPr>
      <w:r>
        <w:fldChar w:fldCharType="begin"/>
      </w:r>
      <w:r>
        <w:instrText xml:space="preserve"> HYPERLINK \l "_Toc232355783" </w:instrText>
      </w:r>
      <w:r>
        <w:fldChar w:fldCharType="separate"/>
      </w:r>
      <w:r>
        <w:rPr>
          <w:rStyle w:val="29"/>
          <w:rFonts w:ascii="宋体" w:hAnsi="宋体" w:eastAsia="宋体" w:cs="Times New Roman"/>
          <w:kern w:val="0"/>
          <w:sz w:val="24"/>
          <w:szCs w:val="24"/>
        </w:rPr>
        <w:t>1.</w:t>
      </w:r>
      <w:r>
        <w:rPr>
          <w:rStyle w:val="29"/>
          <w:rFonts w:ascii="宋体" w:hAnsi="宋体" w:eastAsia="宋体"/>
          <w:sz w:val="24"/>
          <w:szCs w:val="24"/>
        </w:rPr>
        <w:t>C端个人/家庭订阅服务（35%）</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_Toc232355783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20</w:t>
      </w:r>
      <w:r>
        <w:rPr>
          <w:rFonts w:hint="eastAsia" w:ascii="宋体" w:hAnsi="宋体" w:eastAsia="宋体"/>
          <w:sz w:val="24"/>
          <w:szCs w:val="24"/>
        </w:rPr>
        <w:fldChar w:fldCharType="end"/>
      </w:r>
      <w:r>
        <w:rPr>
          <w:rFonts w:hint="eastAsia" w:ascii="宋体" w:hAnsi="宋体" w:eastAsia="宋体"/>
          <w:sz w:val="24"/>
          <w:szCs w:val="24"/>
        </w:rPr>
        <w:fldChar w:fldCharType="end"/>
      </w:r>
    </w:p>
    <w:p w14:paraId="7AE66211">
      <w:pPr>
        <w:pStyle w:val="14"/>
        <w:tabs>
          <w:tab w:val="right" w:leader="dot" w:pos="8296"/>
        </w:tabs>
        <w:spacing w:line="360" w:lineRule="auto"/>
        <w:rPr>
          <w:rFonts w:hint="eastAsia" w:ascii="宋体" w:hAnsi="宋体" w:eastAsia="宋体"/>
          <w:sz w:val="24"/>
          <w:szCs w:val="24"/>
        </w:rPr>
      </w:pPr>
      <w:r>
        <w:fldChar w:fldCharType="begin"/>
      </w:r>
      <w:r>
        <w:instrText xml:space="preserve"> HYPERLINK \l "_Toc232355784" </w:instrText>
      </w:r>
      <w:r>
        <w:fldChar w:fldCharType="separate"/>
      </w:r>
      <w:r>
        <w:rPr>
          <w:rStyle w:val="29"/>
          <w:rFonts w:ascii="宋体" w:hAnsi="宋体" w:eastAsia="宋体"/>
          <w:sz w:val="24"/>
          <w:szCs w:val="24"/>
        </w:rPr>
        <w:t>2.B端机构SaaS服务（25%）</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_Toc232355784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21</w:t>
      </w:r>
      <w:r>
        <w:rPr>
          <w:rFonts w:hint="eastAsia" w:ascii="宋体" w:hAnsi="宋体" w:eastAsia="宋体"/>
          <w:sz w:val="24"/>
          <w:szCs w:val="24"/>
        </w:rPr>
        <w:fldChar w:fldCharType="end"/>
      </w:r>
      <w:r>
        <w:rPr>
          <w:rFonts w:hint="eastAsia" w:ascii="宋体" w:hAnsi="宋体" w:eastAsia="宋体"/>
          <w:sz w:val="24"/>
          <w:szCs w:val="24"/>
        </w:rPr>
        <w:fldChar w:fldCharType="end"/>
      </w:r>
    </w:p>
    <w:p w14:paraId="734D1C7C">
      <w:pPr>
        <w:pStyle w:val="14"/>
        <w:tabs>
          <w:tab w:val="right" w:leader="dot" w:pos="8296"/>
        </w:tabs>
        <w:spacing w:line="360" w:lineRule="auto"/>
        <w:rPr>
          <w:rFonts w:hint="eastAsia" w:ascii="宋体" w:hAnsi="宋体" w:eastAsia="宋体"/>
          <w:sz w:val="24"/>
          <w:szCs w:val="24"/>
        </w:rPr>
      </w:pPr>
      <w:r>
        <w:fldChar w:fldCharType="begin"/>
      </w:r>
      <w:r>
        <w:instrText xml:space="preserve"> HYPERLINK \l "_Toc232355785" </w:instrText>
      </w:r>
      <w:r>
        <w:fldChar w:fldCharType="separate"/>
      </w:r>
      <w:r>
        <w:rPr>
          <w:rStyle w:val="29"/>
          <w:rFonts w:ascii="宋体" w:hAnsi="宋体" w:eastAsia="宋体"/>
          <w:sz w:val="24"/>
          <w:szCs w:val="24"/>
        </w:rPr>
        <w:t>3.智能硬件销售（20%）</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_Toc232355785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21</w:t>
      </w:r>
      <w:r>
        <w:rPr>
          <w:rFonts w:hint="eastAsia" w:ascii="宋体" w:hAnsi="宋体" w:eastAsia="宋体"/>
          <w:sz w:val="24"/>
          <w:szCs w:val="24"/>
        </w:rPr>
        <w:fldChar w:fldCharType="end"/>
      </w:r>
      <w:r>
        <w:rPr>
          <w:rFonts w:hint="eastAsia" w:ascii="宋体" w:hAnsi="宋体" w:eastAsia="宋体"/>
          <w:sz w:val="24"/>
          <w:szCs w:val="24"/>
        </w:rPr>
        <w:fldChar w:fldCharType="end"/>
      </w:r>
    </w:p>
    <w:p w14:paraId="704ABA0E">
      <w:pPr>
        <w:pStyle w:val="14"/>
        <w:tabs>
          <w:tab w:val="right" w:leader="dot" w:pos="8296"/>
        </w:tabs>
        <w:spacing w:line="360" w:lineRule="auto"/>
        <w:rPr>
          <w:rFonts w:hint="eastAsia" w:ascii="宋体" w:hAnsi="宋体" w:eastAsia="宋体"/>
          <w:sz w:val="24"/>
          <w:szCs w:val="24"/>
        </w:rPr>
      </w:pPr>
      <w:r>
        <w:fldChar w:fldCharType="begin"/>
      </w:r>
      <w:r>
        <w:instrText xml:space="preserve"> HYPERLINK \l "_Toc232355786" </w:instrText>
      </w:r>
      <w:r>
        <w:fldChar w:fldCharType="separate"/>
      </w:r>
      <w:r>
        <w:rPr>
          <w:rStyle w:val="29"/>
          <w:rFonts w:ascii="宋体" w:hAnsi="宋体" w:eastAsia="宋体"/>
          <w:sz w:val="24"/>
          <w:szCs w:val="24"/>
        </w:rPr>
        <w:t>4.品牌周边产品销售（10%）</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_Toc232355786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21</w:t>
      </w:r>
      <w:r>
        <w:rPr>
          <w:rFonts w:hint="eastAsia" w:ascii="宋体" w:hAnsi="宋体" w:eastAsia="宋体"/>
          <w:sz w:val="24"/>
          <w:szCs w:val="24"/>
        </w:rPr>
        <w:fldChar w:fldCharType="end"/>
      </w:r>
      <w:r>
        <w:rPr>
          <w:rFonts w:hint="eastAsia" w:ascii="宋体" w:hAnsi="宋体" w:eastAsia="宋体"/>
          <w:sz w:val="24"/>
          <w:szCs w:val="24"/>
        </w:rPr>
        <w:fldChar w:fldCharType="end"/>
      </w:r>
    </w:p>
    <w:p w14:paraId="7DD09269">
      <w:pPr>
        <w:pStyle w:val="14"/>
        <w:tabs>
          <w:tab w:val="right" w:leader="dot" w:pos="8296"/>
        </w:tabs>
        <w:spacing w:line="360" w:lineRule="auto"/>
        <w:rPr>
          <w:rFonts w:hint="eastAsia" w:ascii="宋体" w:hAnsi="宋体" w:eastAsia="宋体"/>
          <w:sz w:val="24"/>
          <w:szCs w:val="24"/>
        </w:rPr>
      </w:pPr>
      <w:r>
        <w:fldChar w:fldCharType="begin"/>
      </w:r>
      <w:r>
        <w:instrText xml:space="preserve"> HYPERLINK \l "_Toc232355787" </w:instrText>
      </w:r>
      <w:r>
        <w:fldChar w:fldCharType="separate"/>
      </w:r>
      <w:r>
        <w:rPr>
          <w:rStyle w:val="29"/>
          <w:rFonts w:ascii="宋体" w:hAnsi="宋体" w:eastAsia="宋体"/>
          <w:sz w:val="24"/>
          <w:szCs w:val="24"/>
        </w:rPr>
        <w:t>5.脱敏数据授权与API服务（10%）</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_Toc232355787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21</w:t>
      </w:r>
      <w:r>
        <w:rPr>
          <w:rFonts w:hint="eastAsia" w:ascii="宋体" w:hAnsi="宋体" w:eastAsia="宋体"/>
          <w:sz w:val="24"/>
          <w:szCs w:val="24"/>
        </w:rPr>
        <w:fldChar w:fldCharType="end"/>
      </w:r>
      <w:r>
        <w:rPr>
          <w:rFonts w:hint="eastAsia" w:ascii="宋体" w:hAnsi="宋体" w:eastAsia="宋体"/>
          <w:sz w:val="24"/>
          <w:szCs w:val="24"/>
        </w:rPr>
        <w:fldChar w:fldCharType="end"/>
      </w:r>
    </w:p>
    <w:p w14:paraId="458DB291">
      <w:pPr>
        <w:pStyle w:val="14"/>
        <w:tabs>
          <w:tab w:val="right" w:leader="dot" w:pos="8296"/>
        </w:tabs>
        <w:spacing w:line="360" w:lineRule="auto"/>
        <w:rPr>
          <w:rFonts w:hint="eastAsia" w:ascii="宋体" w:hAnsi="宋体" w:eastAsia="宋体"/>
          <w:sz w:val="24"/>
          <w:szCs w:val="24"/>
        </w:rPr>
      </w:pPr>
      <w:r>
        <w:fldChar w:fldCharType="begin"/>
      </w:r>
      <w:r>
        <w:instrText xml:space="preserve"> HYPERLINK \l "_Toc232355788" </w:instrText>
      </w:r>
      <w:r>
        <w:fldChar w:fldCharType="separate"/>
      </w:r>
      <w:r>
        <w:rPr>
          <w:rStyle w:val="29"/>
          <w:rFonts w:ascii="宋体" w:hAnsi="宋体" w:eastAsia="宋体" w:cs="Times New Roman"/>
          <w:kern w:val="0"/>
          <w:sz w:val="24"/>
          <w:szCs w:val="24"/>
        </w:rPr>
        <w:t>4.1.2硬件-软件-服务协同变现生态</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_Toc232355788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21</w:t>
      </w:r>
      <w:r>
        <w:rPr>
          <w:rFonts w:hint="eastAsia" w:ascii="宋体" w:hAnsi="宋体" w:eastAsia="宋体"/>
          <w:sz w:val="24"/>
          <w:szCs w:val="24"/>
        </w:rPr>
        <w:fldChar w:fldCharType="end"/>
      </w:r>
      <w:r>
        <w:rPr>
          <w:rFonts w:hint="eastAsia" w:ascii="宋体" w:hAnsi="宋体" w:eastAsia="宋体"/>
          <w:sz w:val="24"/>
          <w:szCs w:val="24"/>
        </w:rPr>
        <w:fldChar w:fldCharType="end"/>
      </w:r>
    </w:p>
    <w:p w14:paraId="68083838">
      <w:pPr>
        <w:pStyle w:val="22"/>
        <w:tabs>
          <w:tab w:val="right" w:leader="dot" w:pos="8296"/>
        </w:tabs>
        <w:spacing w:line="360" w:lineRule="auto"/>
        <w:rPr>
          <w:rFonts w:hint="eastAsia" w:ascii="宋体" w:hAnsi="宋体" w:eastAsia="宋体"/>
          <w:sz w:val="24"/>
          <w:szCs w:val="24"/>
        </w:rPr>
      </w:pPr>
      <w:r>
        <w:fldChar w:fldCharType="begin"/>
      </w:r>
      <w:r>
        <w:instrText xml:space="preserve"> HYPERLINK \l "_Toc232355789" </w:instrText>
      </w:r>
      <w:r>
        <w:fldChar w:fldCharType="separate"/>
      </w:r>
      <w:r>
        <w:rPr>
          <w:rStyle w:val="29"/>
          <w:rFonts w:ascii="宋体" w:hAnsi="宋体" w:eastAsia="宋体" w:cs="Times New Roman"/>
          <w:kern w:val="0"/>
          <w:sz w:val="24"/>
          <w:szCs w:val="24"/>
        </w:rPr>
        <w:t>4.2 定价策略</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_Toc232355789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21</w:t>
      </w:r>
      <w:r>
        <w:rPr>
          <w:rFonts w:hint="eastAsia" w:ascii="宋体" w:hAnsi="宋体" w:eastAsia="宋体"/>
          <w:sz w:val="24"/>
          <w:szCs w:val="24"/>
        </w:rPr>
        <w:fldChar w:fldCharType="end"/>
      </w:r>
      <w:r>
        <w:rPr>
          <w:rFonts w:hint="eastAsia" w:ascii="宋体" w:hAnsi="宋体" w:eastAsia="宋体"/>
          <w:sz w:val="24"/>
          <w:szCs w:val="24"/>
        </w:rPr>
        <w:fldChar w:fldCharType="end"/>
      </w:r>
    </w:p>
    <w:p w14:paraId="1E61AA7E">
      <w:pPr>
        <w:pStyle w:val="22"/>
        <w:tabs>
          <w:tab w:val="right" w:leader="dot" w:pos="8296"/>
        </w:tabs>
        <w:spacing w:line="360" w:lineRule="auto"/>
        <w:rPr>
          <w:rFonts w:hint="eastAsia" w:ascii="宋体" w:hAnsi="宋体" w:eastAsia="宋体"/>
          <w:sz w:val="24"/>
          <w:szCs w:val="24"/>
        </w:rPr>
      </w:pPr>
      <w:r>
        <w:fldChar w:fldCharType="begin"/>
      </w:r>
      <w:r>
        <w:instrText xml:space="preserve"> HYPERLINK \l "_Toc232355790" </w:instrText>
      </w:r>
      <w:r>
        <w:fldChar w:fldCharType="separate"/>
      </w:r>
      <w:r>
        <w:rPr>
          <w:rStyle w:val="29"/>
          <w:rFonts w:ascii="宋体" w:hAnsi="宋体" w:eastAsia="宋体" w:cs="Times New Roman"/>
          <w:kern w:val="0"/>
          <w:sz w:val="24"/>
          <w:szCs w:val="24"/>
        </w:rPr>
        <w:t>4.3 收入预测模型</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_Toc232355790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21</w:t>
      </w:r>
      <w:r>
        <w:rPr>
          <w:rFonts w:hint="eastAsia" w:ascii="宋体" w:hAnsi="宋体" w:eastAsia="宋体"/>
          <w:sz w:val="24"/>
          <w:szCs w:val="24"/>
        </w:rPr>
        <w:fldChar w:fldCharType="end"/>
      </w:r>
      <w:r>
        <w:rPr>
          <w:rFonts w:hint="eastAsia" w:ascii="宋体" w:hAnsi="宋体" w:eastAsia="宋体"/>
          <w:sz w:val="24"/>
          <w:szCs w:val="24"/>
        </w:rPr>
        <w:fldChar w:fldCharType="end"/>
      </w:r>
    </w:p>
    <w:p w14:paraId="23D657B3">
      <w:pPr>
        <w:pStyle w:val="22"/>
        <w:tabs>
          <w:tab w:val="right" w:leader="dot" w:pos="8296"/>
        </w:tabs>
        <w:spacing w:line="360" w:lineRule="auto"/>
        <w:rPr>
          <w:rFonts w:hint="eastAsia" w:ascii="宋体" w:hAnsi="宋体" w:eastAsia="宋体"/>
          <w:sz w:val="24"/>
          <w:szCs w:val="24"/>
        </w:rPr>
      </w:pPr>
      <w:r>
        <w:fldChar w:fldCharType="begin"/>
      </w:r>
      <w:r>
        <w:instrText xml:space="preserve"> HYPERLINK \l "_Toc232355791" </w:instrText>
      </w:r>
      <w:r>
        <w:fldChar w:fldCharType="separate"/>
      </w:r>
      <w:r>
        <w:rPr>
          <w:rStyle w:val="29"/>
          <w:rFonts w:ascii="宋体" w:hAnsi="宋体" w:eastAsia="宋体" w:cs="Times New Roman"/>
          <w:kern w:val="0"/>
          <w:sz w:val="24"/>
          <w:szCs w:val="24"/>
        </w:rPr>
        <w:t>4.4 B端ARR累计模型</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_Toc232355791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22</w:t>
      </w:r>
      <w:r>
        <w:rPr>
          <w:rFonts w:hint="eastAsia" w:ascii="宋体" w:hAnsi="宋体" w:eastAsia="宋体"/>
          <w:sz w:val="24"/>
          <w:szCs w:val="24"/>
        </w:rPr>
        <w:fldChar w:fldCharType="end"/>
      </w:r>
      <w:r>
        <w:rPr>
          <w:rFonts w:hint="eastAsia" w:ascii="宋体" w:hAnsi="宋体" w:eastAsia="宋体"/>
          <w:sz w:val="24"/>
          <w:szCs w:val="24"/>
        </w:rPr>
        <w:fldChar w:fldCharType="end"/>
      </w:r>
    </w:p>
    <w:p w14:paraId="70EF4325">
      <w:pPr>
        <w:pStyle w:val="22"/>
        <w:tabs>
          <w:tab w:val="right" w:leader="dot" w:pos="8296"/>
        </w:tabs>
        <w:spacing w:line="360" w:lineRule="auto"/>
        <w:rPr>
          <w:rFonts w:hint="eastAsia" w:ascii="宋体" w:hAnsi="宋体" w:eastAsia="宋体"/>
          <w:sz w:val="24"/>
          <w:szCs w:val="24"/>
        </w:rPr>
      </w:pPr>
      <w:r>
        <w:fldChar w:fldCharType="begin"/>
      </w:r>
      <w:r>
        <w:instrText xml:space="preserve"> HYPERLINK \l "_Toc232355792" </w:instrText>
      </w:r>
      <w:r>
        <w:fldChar w:fldCharType="separate"/>
      </w:r>
      <w:r>
        <w:rPr>
          <w:rStyle w:val="29"/>
          <w:rFonts w:ascii="宋体" w:hAnsi="宋体" w:eastAsia="宋体" w:cs="Times New Roman"/>
          <w:kern w:val="0"/>
          <w:sz w:val="24"/>
          <w:szCs w:val="24"/>
        </w:rPr>
        <w:t>4.5 LTV/CAC单元经济学分析</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_Toc232355792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22</w:t>
      </w:r>
      <w:r>
        <w:rPr>
          <w:rFonts w:hint="eastAsia" w:ascii="宋体" w:hAnsi="宋体" w:eastAsia="宋体"/>
          <w:sz w:val="24"/>
          <w:szCs w:val="24"/>
        </w:rPr>
        <w:fldChar w:fldCharType="end"/>
      </w:r>
      <w:r>
        <w:rPr>
          <w:rFonts w:hint="eastAsia" w:ascii="宋体" w:hAnsi="宋体" w:eastAsia="宋体"/>
          <w:sz w:val="24"/>
          <w:szCs w:val="24"/>
        </w:rPr>
        <w:fldChar w:fldCharType="end"/>
      </w:r>
    </w:p>
    <w:p w14:paraId="25EFC978">
      <w:pPr>
        <w:pStyle w:val="22"/>
        <w:tabs>
          <w:tab w:val="right" w:leader="dot" w:pos="8296"/>
        </w:tabs>
        <w:spacing w:line="360" w:lineRule="auto"/>
        <w:rPr>
          <w:rFonts w:hint="eastAsia" w:ascii="宋体" w:hAnsi="宋体" w:eastAsia="宋体"/>
          <w:sz w:val="24"/>
          <w:szCs w:val="24"/>
        </w:rPr>
      </w:pPr>
      <w:r>
        <w:fldChar w:fldCharType="begin"/>
      </w:r>
      <w:r>
        <w:instrText xml:space="preserve"> HYPERLINK \l "_Toc232355793" </w:instrText>
      </w:r>
      <w:r>
        <w:fldChar w:fldCharType="separate"/>
      </w:r>
      <w:r>
        <w:rPr>
          <w:rStyle w:val="29"/>
          <w:rFonts w:ascii="宋体" w:hAnsi="宋体" w:eastAsia="宋体" w:cs="Times New Roman"/>
          <w:kern w:val="0"/>
          <w:sz w:val="24"/>
          <w:szCs w:val="24"/>
        </w:rPr>
        <w:t>4.6 成本结构与投资回报</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_Toc232355793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23</w:t>
      </w:r>
      <w:r>
        <w:rPr>
          <w:rFonts w:hint="eastAsia" w:ascii="宋体" w:hAnsi="宋体" w:eastAsia="宋体"/>
          <w:sz w:val="24"/>
          <w:szCs w:val="24"/>
        </w:rPr>
        <w:fldChar w:fldCharType="end"/>
      </w:r>
      <w:r>
        <w:rPr>
          <w:rFonts w:hint="eastAsia" w:ascii="宋体" w:hAnsi="宋体" w:eastAsia="宋体"/>
          <w:sz w:val="24"/>
          <w:szCs w:val="24"/>
        </w:rPr>
        <w:fldChar w:fldCharType="end"/>
      </w:r>
    </w:p>
    <w:p w14:paraId="7B10D123">
      <w:pPr>
        <w:pStyle w:val="14"/>
        <w:tabs>
          <w:tab w:val="right" w:leader="dot" w:pos="8296"/>
        </w:tabs>
        <w:spacing w:line="360" w:lineRule="auto"/>
        <w:rPr>
          <w:rFonts w:hint="eastAsia" w:ascii="宋体" w:hAnsi="宋体" w:eastAsia="宋体"/>
          <w:sz w:val="24"/>
          <w:szCs w:val="24"/>
        </w:rPr>
      </w:pPr>
      <w:r>
        <w:fldChar w:fldCharType="begin"/>
      </w:r>
      <w:r>
        <w:instrText xml:space="preserve"> HYPERLINK \l "_Toc232355794" </w:instrText>
      </w:r>
      <w:r>
        <w:fldChar w:fldCharType="separate"/>
      </w:r>
      <w:r>
        <w:rPr>
          <w:rStyle w:val="29"/>
          <w:rFonts w:ascii="宋体" w:hAnsi="宋体" w:eastAsia="宋体" w:cs="Times New Roman"/>
          <w:kern w:val="0"/>
          <w:sz w:val="24"/>
          <w:szCs w:val="24"/>
        </w:rPr>
        <w:t>4.6.1 成本结构</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_Toc232355794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23</w:t>
      </w:r>
      <w:r>
        <w:rPr>
          <w:rFonts w:hint="eastAsia" w:ascii="宋体" w:hAnsi="宋体" w:eastAsia="宋体"/>
          <w:sz w:val="24"/>
          <w:szCs w:val="24"/>
        </w:rPr>
        <w:fldChar w:fldCharType="end"/>
      </w:r>
      <w:r>
        <w:rPr>
          <w:rFonts w:hint="eastAsia" w:ascii="宋体" w:hAnsi="宋体" w:eastAsia="宋体"/>
          <w:sz w:val="24"/>
          <w:szCs w:val="24"/>
        </w:rPr>
        <w:fldChar w:fldCharType="end"/>
      </w:r>
    </w:p>
    <w:p w14:paraId="4F343608">
      <w:pPr>
        <w:pStyle w:val="14"/>
        <w:tabs>
          <w:tab w:val="right" w:leader="dot" w:pos="8296"/>
        </w:tabs>
        <w:spacing w:line="360" w:lineRule="auto"/>
        <w:rPr>
          <w:rFonts w:hint="eastAsia" w:ascii="宋体" w:hAnsi="宋体" w:eastAsia="宋体"/>
          <w:sz w:val="24"/>
          <w:szCs w:val="24"/>
        </w:rPr>
      </w:pPr>
      <w:r>
        <w:fldChar w:fldCharType="begin"/>
      </w:r>
      <w:r>
        <w:instrText xml:space="preserve"> HYPERLINK \l "_Toc232355795" </w:instrText>
      </w:r>
      <w:r>
        <w:fldChar w:fldCharType="separate"/>
      </w:r>
      <w:r>
        <w:rPr>
          <w:rStyle w:val="29"/>
          <w:rFonts w:ascii="宋体" w:hAnsi="宋体" w:eastAsia="宋体" w:cs="Times New Roman"/>
          <w:kern w:val="0"/>
          <w:sz w:val="24"/>
          <w:szCs w:val="24"/>
        </w:rPr>
        <w:t>4.6.2 核心财务指标</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_Toc232355795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23</w:t>
      </w:r>
      <w:r>
        <w:rPr>
          <w:rFonts w:hint="eastAsia" w:ascii="宋体" w:hAnsi="宋体" w:eastAsia="宋体"/>
          <w:sz w:val="24"/>
          <w:szCs w:val="24"/>
        </w:rPr>
        <w:fldChar w:fldCharType="end"/>
      </w:r>
      <w:r>
        <w:rPr>
          <w:rFonts w:hint="eastAsia" w:ascii="宋体" w:hAnsi="宋体" w:eastAsia="宋体"/>
          <w:sz w:val="24"/>
          <w:szCs w:val="24"/>
        </w:rPr>
        <w:fldChar w:fldCharType="end"/>
      </w:r>
    </w:p>
    <w:p w14:paraId="2109B6BC">
      <w:pPr>
        <w:pStyle w:val="14"/>
        <w:tabs>
          <w:tab w:val="right" w:leader="dot" w:pos="8296"/>
        </w:tabs>
        <w:spacing w:line="360" w:lineRule="auto"/>
        <w:rPr>
          <w:rFonts w:hint="eastAsia" w:ascii="宋体" w:hAnsi="宋体" w:eastAsia="宋体"/>
          <w:sz w:val="24"/>
          <w:szCs w:val="24"/>
        </w:rPr>
      </w:pPr>
      <w:r>
        <w:fldChar w:fldCharType="begin"/>
      </w:r>
      <w:r>
        <w:instrText xml:space="preserve"> HYPERLINK \l "_Toc232355796" </w:instrText>
      </w:r>
      <w:r>
        <w:fldChar w:fldCharType="separate"/>
      </w:r>
      <w:r>
        <w:rPr>
          <w:rStyle w:val="29"/>
          <w:rFonts w:ascii="宋体" w:hAnsi="宋体" w:eastAsia="宋体" w:cs="Times New Roman"/>
          <w:kern w:val="0"/>
          <w:sz w:val="24"/>
          <w:szCs w:val="24"/>
        </w:rPr>
        <w:t>4.6.3 投资回报分析</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_Toc232355796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24</w:t>
      </w:r>
      <w:r>
        <w:rPr>
          <w:rFonts w:hint="eastAsia" w:ascii="宋体" w:hAnsi="宋体" w:eastAsia="宋体"/>
          <w:sz w:val="24"/>
          <w:szCs w:val="24"/>
        </w:rPr>
        <w:fldChar w:fldCharType="end"/>
      </w:r>
      <w:r>
        <w:rPr>
          <w:rFonts w:hint="eastAsia" w:ascii="宋体" w:hAnsi="宋体" w:eastAsia="宋体"/>
          <w:sz w:val="24"/>
          <w:szCs w:val="24"/>
        </w:rPr>
        <w:fldChar w:fldCharType="end"/>
      </w:r>
    </w:p>
    <w:p w14:paraId="0CB41E5F">
      <w:pPr>
        <w:pStyle w:val="22"/>
        <w:tabs>
          <w:tab w:val="right" w:leader="dot" w:pos="8296"/>
        </w:tabs>
        <w:spacing w:line="360" w:lineRule="auto"/>
        <w:rPr>
          <w:rFonts w:hint="eastAsia" w:ascii="宋体" w:hAnsi="宋体" w:eastAsia="宋体"/>
          <w:sz w:val="24"/>
          <w:szCs w:val="24"/>
        </w:rPr>
      </w:pPr>
      <w:r>
        <w:fldChar w:fldCharType="begin"/>
      </w:r>
      <w:r>
        <w:instrText xml:space="preserve"> HYPERLINK \l "_Toc232355797" </w:instrText>
      </w:r>
      <w:r>
        <w:fldChar w:fldCharType="separate"/>
      </w:r>
      <w:r>
        <w:rPr>
          <w:rStyle w:val="29"/>
          <w:rFonts w:ascii="宋体" w:hAnsi="宋体" w:eastAsia="宋体" w:cs="Times New Roman"/>
          <w:kern w:val="0"/>
          <w:sz w:val="24"/>
          <w:szCs w:val="24"/>
        </w:rPr>
        <w:t>4.7 融资规划</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_Toc232355797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24</w:t>
      </w:r>
      <w:r>
        <w:rPr>
          <w:rFonts w:hint="eastAsia" w:ascii="宋体" w:hAnsi="宋体" w:eastAsia="宋体"/>
          <w:sz w:val="24"/>
          <w:szCs w:val="24"/>
        </w:rPr>
        <w:fldChar w:fldCharType="end"/>
      </w:r>
      <w:r>
        <w:rPr>
          <w:rFonts w:hint="eastAsia" w:ascii="宋体" w:hAnsi="宋体" w:eastAsia="宋体"/>
          <w:sz w:val="24"/>
          <w:szCs w:val="24"/>
        </w:rPr>
        <w:fldChar w:fldCharType="end"/>
      </w:r>
    </w:p>
    <w:p w14:paraId="74FDCE58">
      <w:pPr>
        <w:pStyle w:val="14"/>
        <w:tabs>
          <w:tab w:val="right" w:leader="dot" w:pos="8296"/>
        </w:tabs>
        <w:spacing w:line="360" w:lineRule="auto"/>
        <w:rPr>
          <w:rFonts w:hint="eastAsia" w:ascii="宋体" w:hAnsi="宋体" w:eastAsia="宋体"/>
          <w:sz w:val="24"/>
          <w:szCs w:val="24"/>
        </w:rPr>
      </w:pPr>
      <w:r>
        <w:fldChar w:fldCharType="begin"/>
      </w:r>
      <w:r>
        <w:instrText xml:space="preserve"> HYPERLINK \l "_Toc232355798" </w:instrText>
      </w:r>
      <w:r>
        <w:fldChar w:fldCharType="separate"/>
      </w:r>
      <w:r>
        <w:rPr>
          <w:rStyle w:val="29"/>
          <w:rFonts w:ascii="宋体" w:hAnsi="宋体" w:eastAsia="宋体" w:cs="Times New Roman"/>
          <w:kern w:val="0"/>
          <w:sz w:val="24"/>
          <w:szCs w:val="24"/>
        </w:rPr>
        <w:t>4.7.1 种子轮资金详细预算（100万元）</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_Toc232355798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24</w:t>
      </w:r>
      <w:r>
        <w:rPr>
          <w:rFonts w:hint="eastAsia" w:ascii="宋体" w:hAnsi="宋体" w:eastAsia="宋体"/>
          <w:sz w:val="24"/>
          <w:szCs w:val="24"/>
        </w:rPr>
        <w:fldChar w:fldCharType="end"/>
      </w:r>
      <w:r>
        <w:rPr>
          <w:rFonts w:hint="eastAsia" w:ascii="宋体" w:hAnsi="宋体" w:eastAsia="宋体"/>
          <w:sz w:val="24"/>
          <w:szCs w:val="24"/>
        </w:rPr>
        <w:fldChar w:fldCharType="end"/>
      </w:r>
    </w:p>
    <w:p w14:paraId="47E1E9C6">
      <w:pPr>
        <w:pStyle w:val="22"/>
        <w:tabs>
          <w:tab w:val="right" w:leader="dot" w:pos="8296"/>
        </w:tabs>
        <w:spacing w:line="360" w:lineRule="auto"/>
        <w:rPr>
          <w:rFonts w:hint="eastAsia" w:ascii="宋体" w:hAnsi="宋体" w:eastAsia="宋体"/>
          <w:sz w:val="24"/>
          <w:szCs w:val="24"/>
        </w:rPr>
      </w:pPr>
      <w:r>
        <w:fldChar w:fldCharType="begin"/>
      </w:r>
      <w:r>
        <w:instrText xml:space="preserve"> HYPERLINK \l "_Toc232355799" </w:instrText>
      </w:r>
      <w:r>
        <w:fldChar w:fldCharType="separate"/>
      </w:r>
      <w:r>
        <w:rPr>
          <w:rStyle w:val="29"/>
          <w:rFonts w:ascii="宋体" w:hAnsi="宋体" w:eastAsia="宋体" w:cs="Times New Roman"/>
          <w:kern w:val="0"/>
          <w:sz w:val="24"/>
          <w:szCs w:val="24"/>
        </w:rPr>
        <w:t>4.8 敏感性分析</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_Toc232355799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25</w:t>
      </w:r>
      <w:r>
        <w:rPr>
          <w:rFonts w:hint="eastAsia" w:ascii="宋体" w:hAnsi="宋体" w:eastAsia="宋体"/>
          <w:sz w:val="24"/>
          <w:szCs w:val="24"/>
        </w:rPr>
        <w:fldChar w:fldCharType="end"/>
      </w:r>
      <w:r>
        <w:rPr>
          <w:rFonts w:hint="eastAsia" w:ascii="宋体" w:hAnsi="宋体" w:eastAsia="宋体"/>
          <w:sz w:val="24"/>
          <w:szCs w:val="24"/>
        </w:rPr>
        <w:fldChar w:fldCharType="end"/>
      </w:r>
    </w:p>
    <w:p w14:paraId="40D228AC">
      <w:pPr>
        <w:pStyle w:val="18"/>
        <w:tabs>
          <w:tab w:val="right" w:leader="dot" w:pos="8296"/>
        </w:tabs>
        <w:spacing w:line="360" w:lineRule="auto"/>
        <w:rPr>
          <w:rFonts w:hint="eastAsia" w:ascii="宋体" w:hAnsi="宋体" w:eastAsia="宋体"/>
          <w:sz w:val="24"/>
          <w:szCs w:val="24"/>
        </w:rPr>
      </w:pPr>
      <w:r>
        <w:fldChar w:fldCharType="begin"/>
      </w:r>
      <w:r>
        <w:instrText xml:space="preserve"> HYPERLINK \l "_Toc232355800" </w:instrText>
      </w:r>
      <w:r>
        <w:fldChar w:fldCharType="separate"/>
      </w:r>
      <w:r>
        <w:rPr>
          <w:rStyle w:val="29"/>
          <w:rFonts w:ascii="宋体" w:hAnsi="宋体" w:eastAsia="宋体" w:cs="黑体"/>
          <w:sz w:val="24"/>
          <w:szCs w:val="24"/>
        </w:rPr>
        <w:t>五、市场分析与验证</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_Toc232355800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25</w:t>
      </w:r>
      <w:r>
        <w:rPr>
          <w:rFonts w:hint="eastAsia" w:ascii="宋体" w:hAnsi="宋体" w:eastAsia="宋体"/>
          <w:sz w:val="24"/>
          <w:szCs w:val="24"/>
        </w:rPr>
        <w:fldChar w:fldCharType="end"/>
      </w:r>
      <w:r>
        <w:rPr>
          <w:rFonts w:hint="eastAsia" w:ascii="宋体" w:hAnsi="宋体" w:eastAsia="宋体"/>
          <w:sz w:val="24"/>
          <w:szCs w:val="24"/>
        </w:rPr>
        <w:fldChar w:fldCharType="end"/>
      </w:r>
    </w:p>
    <w:p w14:paraId="596F1CDC">
      <w:pPr>
        <w:pStyle w:val="22"/>
        <w:tabs>
          <w:tab w:val="right" w:leader="dot" w:pos="8296"/>
        </w:tabs>
        <w:spacing w:line="360" w:lineRule="auto"/>
        <w:rPr>
          <w:rFonts w:hint="eastAsia" w:ascii="宋体" w:hAnsi="宋体" w:eastAsia="宋体"/>
          <w:sz w:val="24"/>
          <w:szCs w:val="24"/>
        </w:rPr>
      </w:pPr>
      <w:r>
        <w:fldChar w:fldCharType="begin"/>
      </w:r>
      <w:r>
        <w:instrText xml:space="preserve"> HYPERLINK \l "_Toc232355801" </w:instrText>
      </w:r>
      <w:r>
        <w:fldChar w:fldCharType="separate"/>
      </w:r>
      <w:r>
        <w:rPr>
          <w:rStyle w:val="29"/>
          <w:rFonts w:ascii="宋体" w:hAnsi="宋体" w:eastAsia="宋体" w:cs="方正楷体_GB2312"/>
          <w:sz w:val="24"/>
          <w:szCs w:val="24"/>
        </w:rPr>
        <w:t>5.1 市场规模与增长趋势</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_Toc232355801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25</w:t>
      </w:r>
      <w:r>
        <w:rPr>
          <w:rFonts w:hint="eastAsia" w:ascii="宋体" w:hAnsi="宋体" w:eastAsia="宋体"/>
          <w:sz w:val="24"/>
          <w:szCs w:val="24"/>
        </w:rPr>
        <w:fldChar w:fldCharType="end"/>
      </w:r>
      <w:r>
        <w:rPr>
          <w:rFonts w:hint="eastAsia" w:ascii="宋体" w:hAnsi="宋体" w:eastAsia="宋体"/>
          <w:sz w:val="24"/>
          <w:szCs w:val="24"/>
        </w:rPr>
        <w:fldChar w:fldCharType="end"/>
      </w:r>
    </w:p>
    <w:p w14:paraId="16B2FD9D">
      <w:pPr>
        <w:pStyle w:val="14"/>
        <w:tabs>
          <w:tab w:val="right" w:leader="dot" w:pos="8296"/>
        </w:tabs>
        <w:spacing w:line="360" w:lineRule="auto"/>
        <w:rPr>
          <w:rFonts w:hint="eastAsia" w:ascii="宋体" w:hAnsi="宋体" w:eastAsia="宋体"/>
          <w:sz w:val="24"/>
          <w:szCs w:val="24"/>
        </w:rPr>
      </w:pPr>
      <w:r>
        <w:fldChar w:fldCharType="begin"/>
      </w:r>
      <w:r>
        <w:instrText xml:space="preserve"> HYPERLINK \l "_Toc232355802" </w:instrText>
      </w:r>
      <w:r>
        <w:fldChar w:fldCharType="separate"/>
      </w:r>
      <w:r>
        <w:rPr>
          <w:rStyle w:val="29"/>
          <w:rFonts w:ascii="宋体" w:hAnsi="宋体" w:eastAsia="宋体" w:cs="方正仿宋_GB2312"/>
          <w:sz w:val="24"/>
          <w:szCs w:val="24"/>
        </w:rPr>
        <w:t>5.1.1 全球及中国数字心理健康市场规模</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_Toc232355802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26</w:t>
      </w:r>
      <w:r>
        <w:rPr>
          <w:rFonts w:hint="eastAsia" w:ascii="宋体" w:hAnsi="宋体" w:eastAsia="宋体"/>
          <w:sz w:val="24"/>
          <w:szCs w:val="24"/>
        </w:rPr>
        <w:fldChar w:fldCharType="end"/>
      </w:r>
      <w:r>
        <w:rPr>
          <w:rFonts w:hint="eastAsia" w:ascii="宋体" w:hAnsi="宋体" w:eastAsia="宋体"/>
          <w:sz w:val="24"/>
          <w:szCs w:val="24"/>
        </w:rPr>
        <w:fldChar w:fldCharType="end"/>
      </w:r>
    </w:p>
    <w:p w14:paraId="6BB833C5">
      <w:pPr>
        <w:pStyle w:val="14"/>
        <w:tabs>
          <w:tab w:val="right" w:leader="dot" w:pos="8296"/>
        </w:tabs>
        <w:spacing w:line="360" w:lineRule="auto"/>
        <w:rPr>
          <w:rFonts w:hint="eastAsia" w:ascii="宋体" w:hAnsi="宋体" w:eastAsia="宋体"/>
          <w:sz w:val="24"/>
          <w:szCs w:val="24"/>
        </w:rPr>
      </w:pPr>
      <w:r>
        <w:fldChar w:fldCharType="begin"/>
      </w:r>
      <w:r>
        <w:instrText xml:space="preserve"> HYPERLINK \l "_Toc232355803" </w:instrText>
      </w:r>
      <w:r>
        <w:fldChar w:fldCharType="separate"/>
      </w:r>
      <w:r>
        <w:rPr>
          <w:rStyle w:val="29"/>
          <w:rFonts w:ascii="宋体" w:hAnsi="宋体" w:eastAsia="宋体" w:cs="方正仿宋_GB2312"/>
          <w:sz w:val="24"/>
          <w:szCs w:val="24"/>
        </w:rPr>
        <w:t>5.1.2 可穿戴行为识别细分市场</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_Toc232355803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26</w:t>
      </w:r>
      <w:r>
        <w:rPr>
          <w:rFonts w:hint="eastAsia" w:ascii="宋体" w:hAnsi="宋体" w:eastAsia="宋体"/>
          <w:sz w:val="24"/>
          <w:szCs w:val="24"/>
        </w:rPr>
        <w:fldChar w:fldCharType="end"/>
      </w:r>
      <w:r>
        <w:rPr>
          <w:rFonts w:hint="eastAsia" w:ascii="宋体" w:hAnsi="宋体" w:eastAsia="宋体"/>
          <w:sz w:val="24"/>
          <w:szCs w:val="24"/>
        </w:rPr>
        <w:fldChar w:fldCharType="end"/>
      </w:r>
    </w:p>
    <w:p w14:paraId="14A6EE33">
      <w:pPr>
        <w:pStyle w:val="22"/>
        <w:tabs>
          <w:tab w:val="right" w:leader="dot" w:pos="8296"/>
        </w:tabs>
        <w:spacing w:line="360" w:lineRule="auto"/>
        <w:rPr>
          <w:rFonts w:hint="eastAsia" w:ascii="宋体" w:hAnsi="宋体" w:eastAsia="宋体"/>
          <w:sz w:val="24"/>
          <w:szCs w:val="24"/>
        </w:rPr>
      </w:pPr>
      <w:r>
        <w:fldChar w:fldCharType="begin"/>
      </w:r>
      <w:r>
        <w:instrText xml:space="preserve"> HYPERLINK \l "_Toc232355804" </w:instrText>
      </w:r>
      <w:r>
        <w:fldChar w:fldCharType="separate"/>
      </w:r>
      <w:r>
        <w:rPr>
          <w:rStyle w:val="29"/>
          <w:rFonts w:ascii="宋体" w:hAnsi="宋体" w:eastAsia="宋体" w:cs="方正楷体_GB2312"/>
          <w:sz w:val="24"/>
          <w:szCs w:val="24"/>
        </w:rPr>
        <w:t>5.2 目标用户画像</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_Toc232355804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26</w:t>
      </w:r>
      <w:r>
        <w:rPr>
          <w:rFonts w:hint="eastAsia" w:ascii="宋体" w:hAnsi="宋体" w:eastAsia="宋体"/>
          <w:sz w:val="24"/>
          <w:szCs w:val="24"/>
        </w:rPr>
        <w:fldChar w:fldCharType="end"/>
      </w:r>
      <w:r>
        <w:rPr>
          <w:rFonts w:hint="eastAsia" w:ascii="宋体" w:hAnsi="宋体" w:eastAsia="宋体"/>
          <w:sz w:val="24"/>
          <w:szCs w:val="24"/>
        </w:rPr>
        <w:fldChar w:fldCharType="end"/>
      </w:r>
    </w:p>
    <w:p w14:paraId="630CE814">
      <w:pPr>
        <w:pStyle w:val="22"/>
        <w:tabs>
          <w:tab w:val="right" w:leader="dot" w:pos="8296"/>
        </w:tabs>
        <w:spacing w:line="360" w:lineRule="auto"/>
        <w:rPr>
          <w:rFonts w:hint="eastAsia" w:ascii="宋体" w:hAnsi="宋体" w:eastAsia="宋体"/>
          <w:sz w:val="24"/>
          <w:szCs w:val="24"/>
        </w:rPr>
      </w:pPr>
      <w:r>
        <w:fldChar w:fldCharType="begin"/>
      </w:r>
      <w:r>
        <w:instrText xml:space="preserve"> HYPERLINK \l "_Toc232355805" </w:instrText>
      </w:r>
      <w:r>
        <w:fldChar w:fldCharType="separate"/>
      </w:r>
      <w:r>
        <w:rPr>
          <w:rStyle w:val="29"/>
          <w:rFonts w:ascii="宋体" w:hAnsi="宋体" w:eastAsia="宋体" w:cs="方正楷体_GB2312"/>
          <w:sz w:val="24"/>
          <w:szCs w:val="24"/>
        </w:rPr>
        <w:t>5.3 竞争格局分析</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_Toc232355805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27</w:t>
      </w:r>
      <w:r>
        <w:rPr>
          <w:rFonts w:hint="eastAsia" w:ascii="宋体" w:hAnsi="宋体" w:eastAsia="宋体"/>
          <w:sz w:val="24"/>
          <w:szCs w:val="24"/>
        </w:rPr>
        <w:fldChar w:fldCharType="end"/>
      </w:r>
      <w:r>
        <w:rPr>
          <w:rFonts w:hint="eastAsia" w:ascii="宋体" w:hAnsi="宋体" w:eastAsia="宋体"/>
          <w:sz w:val="24"/>
          <w:szCs w:val="24"/>
        </w:rPr>
        <w:fldChar w:fldCharType="end"/>
      </w:r>
    </w:p>
    <w:p w14:paraId="01302109">
      <w:pPr>
        <w:pStyle w:val="22"/>
        <w:tabs>
          <w:tab w:val="right" w:leader="dot" w:pos="8296"/>
        </w:tabs>
        <w:spacing w:line="360" w:lineRule="auto"/>
        <w:rPr>
          <w:rFonts w:hint="eastAsia" w:ascii="宋体" w:hAnsi="宋体" w:eastAsia="宋体"/>
          <w:sz w:val="24"/>
          <w:szCs w:val="24"/>
        </w:rPr>
      </w:pPr>
      <w:r>
        <w:fldChar w:fldCharType="begin"/>
      </w:r>
      <w:r>
        <w:instrText xml:space="preserve"> HYPERLINK \l "_Toc232355806" </w:instrText>
      </w:r>
      <w:r>
        <w:fldChar w:fldCharType="separate"/>
      </w:r>
      <w:r>
        <w:rPr>
          <w:rStyle w:val="29"/>
          <w:rFonts w:ascii="宋体" w:hAnsi="宋体" w:eastAsia="宋体" w:cs="方正楷体_GB2312"/>
          <w:sz w:val="24"/>
          <w:szCs w:val="24"/>
        </w:rPr>
        <w:t>5.4 用户需求验证</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_Toc232355806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28</w:t>
      </w:r>
      <w:r>
        <w:rPr>
          <w:rFonts w:hint="eastAsia" w:ascii="宋体" w:hAnsi="宋体" w:eastAsia="宋体"/>
          <w:sz w:val="24"/>
          <w:szCs w:val="24"/>
        </w:rPr>
        <w:fldChar w:fldCharType="end"/>
      </w:r>
      <w:r>
        <w:rPr>
          <w:rFonts w:hint="eastAsia" w:ascii="宋体" w:hAnsi="宋体" w:eastAsia="宋体"/>
          <w:sz w:val="24"/>
          <w:szCs w:val="24"/>
        </w:rPr>
        <w:fldChar w:fldCharType="end"/>
      </w:r>
    </w:p>
    <w:p w14:paraId="2E6FFA9C">
      <w:pPr>
        <w:pStyle w:val="22"/>
        <w:tabs>
          <w:tab w:val="right" w:leader="dot" w:pos="8296"/>
        </w:tabs>
        <w:spacing w:line="360" w:lineRule="auto"/>
        <w:rPr>
          <w:rFonts w:hint="eastAsia" w:ascii="宋体" w:hAnsi="宋体" w:eastAsia="宋体"/>
          <w:sz w:val="24"/>
          <w:szCs w:val="24"/>
        </w:rPr>
      </w:pPr>
      <w:r>
        <w:fldChar w:fldCharType="begin"/>
      </w:r>
      <w:r>
        <w:instrText xml:space="preserve"> HYPERLINK \l "_Toc232355807" </w:instrText>
      </w:r>
      <w:r>
        <w:fldChar w:fldCharType="separate"/>
      </w:r>
      <w:r>
        <w:rPr>
          <w:rStyle w:val="29"/>
          <w:rFonts w:ascii="宋体" w:hAnsi="宋体" w:eastAsia="宋体" w:cs="方正楷体_GB2312"/>
          <w:sz w:val="24"/>
          <w:szCs w:val="24"/>
        </w:rPr>
        <w:t>5.5 政策响应与国家战略对齐</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_Toc232355807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29</w:t>
      </w:r>
      <w:r>
        <w:rPr>
          <w:rFonts w:hint="eastAsia" w:ascii="宋体" w:hAnsi="宋体" w:eastAsia="宋体"/>
          <w:sz w:val="24"/>
          <w:szCs w:val="24"/>
        </w:rPr>
        <w:fldChar w:fldCharType="end"/>
      </w:r>
      <w:r>
        <w:rPr>
          <w:rFonts w:hint="eastAsia" w:ascii="宋体" w:hAnsi="宋体" w:eastAsia="宋体"/>
          <w:sz w:val="24"/>
          <w:szCs w:val="24"/>
        </w:rPr>
        <w:fldChar w:fldCharType="end"/>
      </w:r>
    </w:p>
    <w:p w14:paraId="18EE1030">
      <w:pPr>
        <w:pStyle w:val="14"/>
        <w:tabs>
          <w:tab w:val="right" w:leader="dot" w:pos="8296"/>
        </w:tabs>
        <w:spacing w:line="360" w:lineRule="auto"/>
        <w:rPr>
          <w:rFonts w:hint="eastAsia" w:ascii="宋体" w:hAnsi="宋体" w:eastAsia="宋体"/>
          <w:sz w:val="24"/>
          <w:szCs w:val="24"/>
        </w:rPr>
      </w:pPr>
      <w:r>
        <w:fldChar w:fldCharType="begin"/>
      </w:r>
      <w:r>
        <w:instrText xml:space="preserve"> HYPERLINK \l "_Toc232355808" </w:instrText>
      </w:r>
      <w:r>
        <w:fldChar w:fldCharType="separate"/>
      </w:r>
      <w:r>
        <w:rPr>
          <w:rStyle w:val="29"/>
          <w:rFonts w:ascii="宋体" w:hAnsi="宋体" w:eastAsia="宋体" w:cs="方正仿宋_GB2312"/>
          <w:sz w:val="24"/>
          <w:szCs w:val="24"/>
        </w:rPr>
        <w:t>5.5.1 “十五五”规划与心理健康</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_Toc232355808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29</w:t>
      </w:r>
      <w:r>
        <w:rPr>
          <w:rFonts w:hint="eastAsia" w:ascii="宋体" w:hAnsi="宋体" w:eastAsia="宋体"/>
          <w:sz w:val="24"/>
          <w:szCs w:val="24"/>
        </w:rPr>
        <w:fldChar w:fldCharType="end"/>
      </w:r>
      <w:r>
        <w:rPr>
          <w:rFonts w:hint="eastAsia" w:ascii="宋体" w:hAnsi="宋体" w:eastAsia="宋体"/>
          <w:sz w:val="24"/>
          <w:szCs w:val="24"/>
        </w:rPr>
        <w:fldChar w:fldCharType="end"/>
      </w:r>
    </w:p>
    <w:p w14:paraId="7FEFB46C">
      <w:pPr>
        <w:pStyle w:val="14"/>
        <w:tabs>
          <w:tab w:val="right" w:leader="dot" w:pos="8296"/>
        </w:tabs>
        <w:spacing w:line="360" w:lineRule="auto"/>
        <w:rPr>
          <w:rFonts w:hint="eastAsia" w:ascii="宋体" w:hAnsi="宋体" w:eastAsia="宋体"/>
          <w:sz w:val="24"/>
          <w:szCs w:val="24"/>
        </w:rPr>
      </w:pPr>
      <w:r>
        <w:fldChar w:fldCharType="begin"/>
      </w:r>
      <w:r>
        <w:instrText xml:space="preserve"> HYPERLINK \l "_Toc232355809" </w:instrText>
      </w:r>
      <w:r>
        <w:fldChar w:fldCharType="separate"/>
      </w:r>
      <w:r>
        <w:rPr>
          <w:rStyle w:val="29"/>
          <w:rFonts w:ascii="宋体" w:hAnsi="宋体" w:eastAsia="宋体" w:cs="方正仿宋_GB2312"/>
          <w:sz w:val="24"/>
          <w:szCs w:val="24"/>
        </w:rPr>
        <w:t>5.5.2 产学研协同与政策红利</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_Toc232355809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30</w:t>
      </w:r>
      <w:r>
        <w:rPr>
          <w:rFonts w:hint="eastAsia" w:ascii="宋体" w:hAnsi="宋体" w:eastAsia="宋体"/>
          <w:sz w:val="24"/>
          <w:szCs w:val="24"/>
        </w:rPr>
        <w:fldChar w:fldCharType="end"/>
      </w:r>
      <w:r>
        <w:rPr>
          <w:rFonts w:hint="eastAsia" w:ascii="宋体" w:hAnsi="宋体" w:eastAsia="宋体"/>
          <w:sz w:val="24"/>
          <w:szCs w:val="24"/>
        </w:rPr>
        <w:fldChar w:fldCharType="end"/>
      </w:r>
    </w:p>
    <w:p w14:paraId="29E99786">
      <w:pPr>
        <w:pStyle w:val="22"/>
        <w:tabs>
          <w:tab w:val="right" w:leader="dot" w:pos="8296"/>
        </w:tabs>
        <w:spacing w:line="360" w:lineRule="auto"/>
        <w:rPr>
          <w:rFonts w:hint="eastAsia" w:ascii="宋体" w:hAnsi="宋体" w:eastAsia="宋体"/>
          <w:sz w:val="24"/>
          <w:szCs w:val="24"/>
        </w:rPr>
      </w:pPr>
      <w:r>
        <w:fldChar w:fldCharType="begin"/>
      </w:r>
      <w:r>
        <w:instrText xml:space="preserve"> HYPERLINK \l "_Toc232355810" </w:instrText>
      </w:r>
      <w:r>
        <w:fldChar w:fldCharType="separate"/>
      </w:r>
      <w:r>
        <w:rPr>
          <w:rStyle w:val="29"/>
          <w:rFonts w:ascii="宋体" w:hAnsi="宋体" w:eastAsia="宋体" w:cs="方正楷体_GB2312"/>
          <w:sz w:val="24"/>
          <w:szCs w:val="24"/>
        </w:rPr>
        <w:t>5.6 市场机会总结</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_Toc232355810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30</w:t>
      </w:r>
      <w:r>
        <w:rPr>
          <w:rFonts w:hint="eastAsia" w:ascii="宋体" w:hAnsi="宋体" w:eastAsia="宋体"/>
          <w:sz w:val="24"/>
          <w:szCs w:val="24"/>
        </w:rPr>
        <w:fldChar w:fldCharType="end"/>
      </w:r>
      <w:r>
        <w:rPr>
          <w:rFonts w:hint="eastAsia" w:ascii="宋体" w:hAnsi="宋体" w:eastAsia="宋体"/>
          <w:sz w:val="24"/>
          <w:szCs w:val="24"/>
        </w:rPr>
        <w:fldChar w:fldCharType="end"/>
      </w:r>
    </w:p>
    <w:p w14:paraId="0166AA5A">
      <w:pPr>
        <w:pStyle w:val="18"/>
        <w:tabs>
          <w:tab w:val="right" w:leader="dot" w:pos="8296"/>
        </w:tabs>
        <w:spacing w:line="360" w:lineRule="auto"/>
        <w:rPr>
          <w:rFonts w:hint="eastAsia" w:ascii="宋体" w:hAnsi="宋体" w:eastAsia="宋体"/>
          <w:sz w:val="24"/>
          <w:szCs w:val="24"/>
        </w:rPr>
      </w:pPr>
      <w:r>
        <w:fldChar w:fldCharType="begin"/>
      </w:r>
      <w:r>
        <w:instrText xml:space="preserve"> HYPERLINK \l "_Toc232355811" </w:instrText>
      </w:r>
      <w:r>
        <w:fldChar w:fldCharType="separate"/>
      </w:r>
      <w:r>
        <w:rPr>
          <w:rStyle w:val="29"/>
          <w:rFonts w:ascii="宋体" w:hAnsi="宋体" w:eastAsia="宋体" w:cs="方正楷体_GB2312"/>
          <w:sz w:val="24"/>
          <w:szCs w:val="24"/>
        </w:rPr>
        <w:t>六．三阶段发展战略</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_Toc232355811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31</w:t>
      </w:r>
      <w:r>
        <w:rPr>
          <w:rFonts w:hint="eastAsia" w:ascii="宋体" w:hAnsi="宋体" w:eastAsia="宋体"/>
          <w:sz w:val="24"/>
          <w:szCs w:val="24"/>
        </w:rPr>
        <w:fldChar w:fldCharType="end"/>
      </w:r>
      <w:r>
        <w:rPr>
          <w:rFonts w:hint="eastAsia" w:ascii="宋体" w:hAnsi="宋体" w:eastAsia="宋体"/>
          <w:sz w:val="24"/>
          <w:szCs w:val="24"/>
        </w:rPr>
        <w:fldChar w:fldCharType="end"/>
      </w:r>
    </w:p>
    <w:p w14:paraId="5AA1FAC9">
      <w:pPr>
        <w:pStyle w:val="22"/>
        <w:tabs>
          <w:tab w:val="right" w:leader="dot" w:pos="8296"/>
        </w:tabs>
        <w:spacing w:line="360" w:lineRule="auto"/>
        <w:rPr>
          <w:rFonts w:hint="eastAsia" w:ascii="宋体" w:hAnsi="宋体" w:eastAsia="宋体"/>
          <w:sz w:val="24"/>
          <w:szCs w:val="24"/>
        </w:rPr>
      </w:pPr>
      <w:r>
        <w:fldChar w:fldCharType="begin"/>
      </w:r>
      <w:r>
        <w:instrText xml:space="preserve"> HYPERLINK \l "_Toc232355812" </w:instrText>
      </w:r>
      <w:r>
        <w:fldChar w:fldCharType="separate"/>
      </w:r>
      <w:r>
        <w:rPr>
          <w:rStyle w:val="29"/>
          <w:rFonts w:ascii="宋体" w:hAnsi="宋体" w:eastAsia="宋体" w:cs="方正楷体_GB2312"/>
          <w:sz w:val="24"/>
          <w:szCs w:val="24"/>
        </w:rPr>
        <w:t>6.1 各阶段详细任务</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_Toc232355812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32</w:t>
      </w:r>
      <w:r>
        <w:rPr>
          <w:rFonts w:hint="eastAsia" w:ascii="宋体" w:hAnsi="宋体" w:eastAsia="宋体"/>
          <w:sz w:val="24"/>
          <w:szCs w:val="24"/>
        </w:rPr>
        <w:fldChar w:fldCharType="end"/>
      </w:r>
      <w:r>
        <w:rPr>
          <w:rFonts w:hint="eastAsia" w:ascii="宋体" w:hAnsi="宋体" w:eastAsia="宋体"/>
          <w:sz w:val="24"/>
          <w:szCs w:val="24"/>
        </w:rPr>
        <w:fldChar w:fldCharType="end"/>
      </w:r>
    </w:p>
    <w:p w14:paraId="131EE4CA">
      <w:pPr>
        <w:pStyle w:val="14"/>
        <w:tabs>
          <w:tab w:val="right" w:leader="dot" w:pos="8296"/>
        </w:tabs>
        <w:spacing w:line="360" w:lineRule="auto"/>
        <w:rPr>
          <w:rFonts w:hint="eastAsia" w:ascii="宋体" w:hAnsi="宋体" w:eastAsia="宋体"/>
          <w:sz w:val="24"/>
          <w:szCs w:val="24"/>
        </w:rPr>
      </w:pPr>
      <w:r>
        <w:fldChar w:fldCharType="begin"/>
      </w:r>
      <w:r>
        <w:instrText xml:space="preserve"> HYPERLINK \l "_Toc232355813" </w:instrText>
      </w:r>
      <w:r>
        <w:fldChar w:fldCharType="separate"/>
      </w:r>
      <w:r>
        <w:rPr>
          <w:rStyle w:val="29"/>
          <w:rFonts w:ascii="宋体" w:hAnsi="宋体" w:eastAsia="宋体" w:cs="方正仿宋_GB2312"/>
          <w:sz w:val="24"/>
          <w:szCs w:val="24"/>
        </w:rPr>
        <w:t>6.1.1 MVP验证期（2026.06-2026.12）</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_Toc232355813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32</w:t>
      </w:r>
      <w:r>
        <w:rPr>
          <w:rFonts w:hint="eastAsia" w:ascii="宋体" w:hAnsi="宋体" w:eastAsia="宋体"/>
          <w:sz w:val="24"/>
          <w:szCs w:val="24"/>
        </w:rPr>
        <w:fldChar w:fldCharType="end"/>
      </w:r>
      <w:r>
        <w:rPr>
          <w:rFonts w:hint="eastAsia" w:ascii="宋体" w:hAnsi="宋体" w:eastAsia="宋体"/>
          <w:sz w:val="24"/>
          <w:szCs w:val="24"/>
        </w:rPr>
        <w:fldChar w:fldCharType="end"/>
      </w:r>
    </w:p>
    <w:p w14:paraId="233BCA50">
      <w:pPr>
        <w:pStyle w:val="14"/>
        <w:tabs>
          <w:tab w:val="right" w:leader="dot" w:pos="8296"/>
        </w:tabs>
        <w:spacing w:line="360" w:lineRule="auto"/>
        <w:rPr>
          <w:rFonts w:hint="eastAsia" w:ascii="宋体" w:hAnsi="宋体" w:eastAsia="宋体"/>
          <w:sz w:val="24"/>
          <w:szCs w:val="24"/>
        </w:rPr>
      </w:pPr>
      <w:r>
        <w:fldChar w:fldCharType="begin"/>
      </w:r>
      <w:r>
        <w:instrText xml:space="preserve"> HYPERLINK \l "_Toc232355814" </w:instrText>
      </w:r>
      <w:r>
        <w:fldChar w:fldCharType="separate"/>
      </w:r>
      <w:r>
        <w:rPr>
          <w:rStyle w:val="29"/>
          <w:rFonts w:ascii="宋体" w:hAnsi="宋体" w:eastAsia="宋体" w:cs="方正仿宋_GB2312"/>
          <w:sz w:val="24"/>
          <w:szCs w:val="24"/>
        </w:rPr>
        <w:t>6.1.2 市场推广期（2027.01-2027.12）</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_Toc232355814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32</w:t>
      </w:r>
      <w:r>
        <w:rPr>
          <w:rFonts w:hint="eastAsia" w:ascii="宋体" w:hAnsi="宋体" w:eastAsia="宋体"/>
          <w:sz w:val="24"/>
          <w:szCs w:val="24"/>
        </w:rPr>
        <w:fldChar w:fldCharType="end"/>
      </w:r>
      <w:r>
        <w:rPr>
          <w:rFonts w:hint="eastAsia" w:ascii="宋体" w:hAnsi="宋体" w:eastAsia="宋体"/>
          <w:sz w:val="24"/>
          <w:szCs w:val="24"/>
        </w:rPr>
        <w:fldChar w:fldCharType="end"/>
      </w:r>
    </w:p>
    <w:p w14:paraId="47CD29FE">
      <w:pPr>
        <w:pStyle w:val="14"/>
        <w:tabs>
          <w:tab w:val="right" w:leader="dot" w:pos="8296"/>
        </w:tabs>
        <w:spacing w:line="360" w:lineRule="auto"/>
        <w:rPr>
          <w:rFonts w:hint="eastAsia" w:ascii="宋体" w:hAnsi="宋体" w:eastAsia="宋体"/>
          <w:sz w:val="24"/>
          <w:szCs w:val="24"/>
        </w:rPr>
      </w:pPr>
      <w:r>
        <w:fldChar w:fldCharType="begin"/>
      </w:r>
      <w:r>
        <w:instrText xml:space="preserve"> HYPERLINK \l "_Toc232355815" </w:instrText>
      </w:r>
      <w:r>
        <w:fldChar w:fldCharType="separate"/>
      </w:r>
      <w:r>
        <w:rPr>
          <w:rStyle w:val="29"/>
          <w:rFonts w:ascii="宋体" w:hAnsi="宋体" w:eastAsia="宋体" w:cs="方正仿宋_GB2312"/>
          <w:sz w:val="24"/>
          <w:szCs w:val="24"/>
        </w:rPr>
        <w:t>6.1.3 规模化增长期（2028.01-2029.12）</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_Toc232355815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32</w:t>
      </w:r>
      <w:r>
        <w:rPr>
          <w:rFonts w:hint="eastAsia" w:ascii="宋体" w:hAnsi="宋体" w:eastAsia="宋体"/>
          <w:sz w:val="24"/>
          <w:szCs w:val="24"/>
        </w:rPr>
        <w:fldChar w:fldCharType="end"/>
      </w:r>
      <w:r>
        <w:rPr>
          <w:rFonts w:hint="eastAsia" w:ascii="宋体" w:hAnsi="宋体" w:eastAsia="宋体"/>
          <w:sz w:val="24"/>
          <w:szCs w:val="24"/>
        </w:rPr>
        <w:fldChar w:fldCharType="end"/>
      </w:r>
    </w:p>
    <w:p w14:paraId="24D0C154">
      <w:pPr>
        <w:pStyle w:val="22"/>
        <w:tabs>
          <w:tab w:val="right" w:leader="dot" w:pos="8296"/>
        </w:tabs>
        <w:spacing w:line="360" w:lineRule="auto"/>
        <w:rPr>
          <w:rFonts w:hint="eastAsia" w:ascii="宋体" w:hAnsi="宋体" w:eastAsia="宋体"/>
          <w:sz w:val="24"/>
          <w:szCs w:val="24"/>
        </w:rPr>
      </w:pPr>
      <w:r>
        <w:fldChar w:fldCharType="begin"/>
      </w:r>
      <w:r>
        <w:instrText xml:space="preserve"> HYPERLINK \l "_Toc232355816" </w:instrText>
      </w:r>
      <w:r>
        <w:fldChar w:fldCharType="separate"/>
      </w:r>
      <w:r>
        <w:rPr>
          <w:rStyle w:val="29"/>
          <w:rFonts w:ascii="宋体" w:hAnsi="宋体" w:eastAsia="宋体" w:cs="方正楷体_GB2312"/>
          <w:sz w:val="24"/>
          <w:szCs w:val="24"/>
        </w:rPr>
        <w:t>6.2 进度甘特图数据</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_Toc232355816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32</w:t>
      </w:r>
      <w:r>
        <w:rPr>
          <w:rFonts w:hint="eastAsia" w:ascii="宋体" w:hAnsi="宋体" w:eastAsia="宋体"/>
          <w:sz w:val="24"/>
          <w:szCs w:val="24"/>
        </w:rPr>
        <w:fldChar w:fldCharType="end"/>
      </w:r>
      <w:r>
        <w:rPr>
          <w:rFonts w:hint="eastAsia" w:ascii="宋体" w:hAnsi="宋体" w:eastAsia="宋体"/>
          <w:sz w:val="24"/>
          <w:szCs w:val="24"/>
        </w:rPr>
        <w:fldChar w:fldCharType="end"/>
      </w:r>
    </w:p>
    <w:p w14:paraId="77957500">
      <w:pPr>
        <w:pStyle w:val="22"/>
        <w:tabs>
          <w:tab w:val="right" w:leader="dot" w:pos="8296"/>
        </w:tabs>
        <w:spacing w:line="360" w:lineRule="auto"/>
        <w:rPr>
          <w:rFonts w:hint="eastAsia" w:ascii="宋体" w:hAnsi="宋体" w:eastAsia="宋体"/>
          <w:sz w:val="24"/>
          <w:szCs w:val="24"/>
        </w:rPr>
      </w:pPr>
      <w:r>
        <w:fldChar w:fldCharType="begin"/>
      </w:r>
      <w:r>
        <w:instrText xml:space="preserve"> HYPERLINK \l "_Toc232355817" </w:instrText>
      </w:r>
      <w:r>
        <w:fldChar w:fldCharType="separate"/>
      </w:r>
      <w:r>
        <w:rPr>
          <w:rStyle w:val="29"/>
          <w:rFonts w:ascii="宋体" w:hAnsi="宋体" w:eastAsia="宋体" w:cs="方正楷体_GB2312"/>
          <w:sz w:val="24"/>
          <w:szCs w:val="24"/>
        </w:rPr>
        <w:t>6.3 2026年下半年详细开发计划</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_Toc232355817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33</w:t>
      </w:r>
      <w:r>
        <w:rPr>
          <w:rFonts w:hint="eastAsia" w:ascii="宋体" w:hAnsi="宋体" w:eastAsia="宋体"/>
          <w:sz w:val="24"/>
          <w:szCs w:val="24"/>
        </w:rPr>
        <w:fldChar w:fldCharType="end"/>
      </w:r>
      <w:r>
        <w:rPr>
          <w:rFonts w:hint="eastAsia" w:ascii="宋体" w:hAnsi="宋体" w:eastAsia="宋体"/>
          <w:sz w:val="24"/>
          <w:szCs w:val="24"/>
        </w:rPr>
        <w:fldChar w:fldCharType="end"/>
      </w:r>
    </w:p>
    <w:p w14:paraId="3BB677C3">
      <w:pPr>
        <w:pStyle w:val="18"/>
        <w:tabs>
          <w:tab w:val="right" w:leader="dot" w:pos="8296"/>
        </w:tabs>
        <w:spacing w:line="360" w:lineRule="auto"/>
        <w:rPr>
          <w:rFonts w:hint="eastAsia" w:ascii="宋体" w:hAnsi="宋体" w:eastAsia="宋体"/>
          <w:sz w:val="24"/>
          <w:szCs w:val="24"/>
        </w:rPr>
      </w:pPr>
      <w:r>
        <w:fldChar w:fldCharType="begin"/>
      </w:r>
      <w:r>
        <w:instrText xml:space="preserve"> HYPERLINK \l "_Toc232355818" </w:instrText>
      </w:r>
      <w:r>
        <w:fldChar w:fldCharType="separate"/>
      </w:r>
      <w:r>
        <w:rPr>
          <w:rStyle w:val="29"/>
          <w:rFonts w:ascii="宋体" w:hAnsi="宋体" w:eastAsia="宋体" w:cs="黑体"/>
          <w:sz w:val="24"/>
          <w:szCs w:val="24"/>
        </w:rPr>
        <w:t>七、风险评估与应对预案</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_Toc232355818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33</w:t>
      </w:r>
      <w:r>
        <w:rPr>
          <w:rFonts w:hint="eastAsia" w:ascii="宋体" w:hAnsi="宋体" w:eastAsia="宋体"/>
          <w:sz w:val="24"/>
          <w:szCs w:val="24"/>
        </w:rPr>
        <w:fldChar w:fldCharType="end"/>
      </w:r>
      <w:r>
        <w:rPr>
          <w:rFonts w:hint="eastAsia" w:ascii="宋体" w:hAnsi="宋体" w:eastAsia="宋体"/>
          <w:sz w:val="24"/>
          <w:szCs w:val="24"/>
        </w:rPr>
        <w:fldChar w:fldCharType="end"/>
      </w:r>
    </w:p>
    <w:p w14:paraId="621D49EE">
      <w:pPr>
        <w:pStyle w:val="22"/>
        <w:tabs>
          <w:tab w:val="right" w:leader="dot" w:pos="8296"/>
        </w:tabs>
        <w:spacing w:line="360" w:lineRule="auto"/>
        <w:rPr>
          <w:rFonts w:hint="eastAsia" w:ascii="宋体" w:hAnsi="宋体" w:eastAsia="宋体"/>
          <w:sz w:val="24"/>
          <w:szCs w:val="24"/>
        </w:rPr>
      </w:pPr>
      <w:r>
        <w:fldChar w:fldCharType="begin"/>
      </w:r>
      <w:r>
        <w:instrText xml:space="preserve"> HYPERLINK \l "_Toc232355819" </w:instrText>
      </w:r>
      <w:r>
        <w:fldChar w:fldCharType="separate"/>
      </w:r>
      <w:r>
        <w:rPr>
          <w:rStyle w:val="29"/>
          <w:rFonts w:ascii="宋体" w:hAnsi="宋体" w:eastAsia="宋体" w:cs="黑体"/>
          <w:sz w:val="24"/>
          <w:szCs w:val="24"/>
        </w:rPr>
        <w:t>7.1 风险矩阵</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_Toc232355819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34</w:t>
      </w:r>
      <w:r>
        <w:rPr>
          <w:rFonts w:hint="eastAsia" w:ascii="宋体" w:hAnsi="宋体" w:eastAsia="宋体"/>
          <w:sz w:val="24"/>
          <w:szCs w:val="24"/>
        </w:rPr>
        <w:fldChar w:fldCharType="end"/>
      </w:r>
      <w:r>
        <w:rPr>
          <w:rFonts w:hint="eastAsia" w:ascii="宋体" w:hAnsi="宋体" w:eastAsia="宋体"/>
          <w:sz w:val="24"/>
          <w:szCs w:val="24"/>
        </w:rPr>
        <w:fldChar w:fldCharType="end"/>
      </w:r>
    </w:p>
    <w:p w14:paraId="18AA245A">
      <w:pPr>
        <w:pStyle w:val="22"/>
        <w:tabs>
          <w:tab w:val="right" w:leader="dot" w:pos="8296"/>
        </w:tabs>
        <w:spacing w:line="360" w:lineRule="auto"/>
        <w:rPr>
          <w:rFonts w:hint="eastAsia" w:ascii="宋体" w:hAnsi="宋体" w:eastAsia="宋体"/>
          <w:sz w:val="24"/>
          <w:szCs w:val="24"/>
        </w:rPr>
      </w:pPr>
      <w:r>
        <w:fldChar w:fldCharType="begin"/>
      </w:r>
      <w:r>
        <w:instrText xml:space="preserve"> HYPERLINK \l "_Toc232355820" </w:instrText>
      </w:r>
      <w:r>
        <w:fldChar w:fldCharType="separate"/>
      </w:r>
      <w:r>
        <w:rPr>
          <w:rStyle w:val="29"/>
          <w:rFonts w:ascii="宋体" w:hAnsi="宋体" w:eastAsia="宋体" w:cs="黑体"/>
          <w:sz w:val="24"/>
          <w:szCs w:val="24"/>
        </w:rPr>
        <w:t>7.2 应急预案</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_Toc232355820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35</w:t>
      </w:r>
      <w:r>
        <w:rPr>
          <w:rFonts w:hint="eastAsia" w:ascii="宋体" w:hAnsi="宋体" w:eastAsia="宋体"/>
          <w:sz w:val="24"/>
          <w:szCs w:val="24"/>
        </w:rPr>
        <w:fldChar w:fldCharType="end"/>
      </w:r>
      <w:r>
        <w:rPr>
          <w:rFonts w:hint="eastAsia" w:ascii="宋体" w:hAnsi="宋体" w:eastAsia="宋体"/>
          <w:sz w:val="24"/>
          <w:szCs w:val="24"/>
        </w:rPr>
        <w:fldChar w:fldCharType="end"/>
      </w:r>
    </w:p>
    <w:p w14:paraId="524151F5">
      <w:pPr>
        <w:pStyle w:val="18"/>
        <w:tabs>
          <w:tab w:val="right" w:leader="dot" w:pos="8296"/>
        </w:tabs>
        <w:spacing w:line="360" w:lineRule="auto"/>
        <w:rPr>
          <w:rFonts w:hint="eastAsia" w:ascii="宋体" w:hAnsi="宋体" w:eastAsia="宋体"/>
          <w:sz w:val="24"/>
          <w:szCs w:val="24"/>
        </w:rPr>
      </w:pPr>
      <w:r>
        <w:fldChar w:fldCharType="begin"/>
      </w:r>
      <w:r>
        <w:instrText xml:space="preserve"> HYPERLINK \l "_Toc232355821" </w:instrText>
      </w:r>
      <w:r>
        <w:fldChar w:fldCharType="separate"/>
      </w:r>
      <w:r>
        <w:rPr>
          <w:rStyle w:val="29"/>
          <w:rFonts w:ascii="宋体" w:hAnsi="宋体" w:eastAsia="宋体" w:cs="黑体"/>
          <w:sz w:val="24"/>
          <w:szCs w:val="24"/>
        </w:rPr>
        <w:t>八、团队介绍</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_Toc232355821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35</w:t>
      </w:r>
      <w:r>
        <w:rPr>
          <w:rFonts w:hint="eastAsia" w:ascii="宋体" w:hAnsi="宋体" w:eastAsia="宋体"/>
          <w:sz w:val="24"/>
          <w:szCs w:val="24"/>
        </w:rPr>
        <w:fldChar w:fldCharType="end"/>
      </w:r>
      <w:r>
        <w:rPr>
          <w:rFonts w:hint="eastAsia" w:ascii="宋体" w:hAnsi="宋体" w:eastAsia="宋体"/>
          <w:sz w:val="24"/>
          <w:szCs w:val="24"/>
        </w:rPr>
        <w:fldChar w:fldCharType="end"/>
      </w:r>
    </w:p>
    <w:p w14:paraId="2EF205DD">
      <w:pPr>
        <w:pStyle w:val="22"/>
        <w:tabs>
          <w:tab w:val="right" w:leader="dot" w:pos="8296"/>
        </w:tabs>
        <w:spacing w:line="360" w:lineRule="auto"/>
        <w:rPr>
          <w:rFonts w:hint="eastAsia" w:ascii="宋体" w:hAnsi="宋体" w:eastAsia="宋体"/>
          <w:sz w:val="24"/>
          <w:szCs w:val="24"/>
        </w:rPr>
      </w:pPr>
      <w:r>
        <w:fldChar w:fldCharType="begin"/>
      </w:r>
      <w:r>
        <w:instrText xml:space="preserve"> HYPERLINK \l "_Toc232355822" </w:instrText>
      </w:r>
      <w:r>
        <w:fldChar w:fldCharType="separate"/>
      </w:r>
      <w:r>
        <w:rPr>
          <w:rStyle w:val="29"/>
          <w:rFonts w:ascii="宋体" w:hAnsi="宋体" w:eastAsia="宋体" w:cs="黑体"/>
          <w:sz w:val="24"/>
          <w:szCs w:val="24"/>
        </w:rPr>
        <w:t>8.1 团队介绍</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_Toc232355822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35</w:t>
      </w:r>
      <w:r>
        <w:rPr>
          <w:rFonts w:hint="eastAsia" w:ascii="宋体" w:hAnsi="宋体" w:eastAsia="宋体"/>
          <w:sz w:val="24"/>
          <w:szCs w:val="24"/>
        </w:rPr>
        <w:fldChar w:fldCharType="end"/>
      </w:r>
      <w:r>
        <w:rPr>
          <w:rFonts w:hint="eastAsia" w:ascii="宋体" w:hAnsi="宋体" w:eastAsia="宋体"/>
          <w:sz w:val="24"/>
          <w:szCs w:val="24"/>
        </w:rPr>
        <w:fldChar w:fldCharType="end"/>
      </w:r>
    </w:p>
    <w:p w14:paraId="15D7AB4E">
      <w:pPr>
        <w:pStyle w:val="18"/>
        <w:tabs>
          <w:tab w:val="right" w:leader="dot" w:pos="8296"/>
        </w:tabs>
        <w:spacing w:line="360" w:lineRule="auto"/>
        <w:rPr>
          <w:rFonts w:hint="eastAsia" w:ascii="宋体" w:hAnsi="宋体" w:eastAsia="宋体"/>
          <w:sz w:val="24"/>
          <w:szCs w:val="24"/>
        </w:rPr>
      </w:pPr>
      <w:r>
        <w:fldChar w:fldCharType="begin"/>
      </w:r>
      <w:r>
        <w:instrText xml:space="preserve"> HYPERLINK \l "_Toc232355823" </w:instrText>
      </w:r>
      <w:r>
        <w:fldChar w:fldCharType="separate"/>
      </w:r>
      <w:r>
        <w:rPr>
          <w:rStyle w:val="29"/>
          <w:rFonts w:ascii="宋体" w:hAnsi="宋体" w:eastAsia="宋体"/>
          <w:sz w:val="24"/>
          <w:szCs w:val="24"/>
        </w:rPr>
        <w:t>附录</w:t>
      </w:r>
      <w:r>
        <w:rPr>
          <w:rFonts w:hint="eastAsia" w:ascii="宋体" w:hAnsi="宋体" w:eastAsia="宋体"/>
          <w:sz w:val="24"/>
          <w:szCs w:val="24"/>
        </w:rPr>
        <w:tab/>
      </w:r>
      <w:r>
        <w:rPr>
          <w:rFonts w:hint="eastAsia" w:ascii="宋体" w:hAnsi="宋体" w:eastAsia="宋体"/>
          <w:sz w:val="24"/>
          <w:szCs w:val="24"/>
        </w:rPr>
        <w:fldChar w:fldCharType="begin"/>
      </w:r>
      <w:r>
        <w:rPr>
          <w:rFonts w:hint="eastAsia" w:ascii="宋体" w:hAnsi="宋体" w:eastAsia="宋体"/>
          <w:sz w:val="24"/>
          <w:szCs w:val="24"/>
        </w:rPr>
        <w:instrText xml:space="preserve"> </w:instrText>
      </w:r>
      <w:r>
        <w:rPr>
          <w:rFonts w:ascii="宋体" w:hAnsi="宋体" w:eastAsia="宋体"/>
          <w:sz w:val="24"/>
          <w:szCs w:val="24"/>
        </w:rPr>
        <w:instrText xml:space="preserve">PAGEREF _Toc232355823 \h</w:instrText>
      </w:r>
      <w:r>
        <w:rPr>
          <w:rFonts w:hint="eastAsia" w:ascii="宋体" w:hAnsi="宋体" w:eastAsia="宋体"/>
          <w:sz w:val="24"/>
          <w:szCs w:val="24"/>
        </w:rPr>
        <w:instrText xml:space="preserve"> </w:instrText>
      </w:r>
      <w:r>
        <w:rPr>
          <w:rFonts w:hint="eastAsia" w:ascii="宋体" w:hAnsi="宋体" w:eastAsia="宋体"/>
          <w:sz w:val="24"/>
          <w:szCs w:val="24"/>
        </w:rPr>
        <w:fldChar w:fldCharType="separate"/>
      </w:r>
      <w:r>
        <w:rPr>
          <w:rFonts w:ascii="宋体" w:hAnsi="宋体" w:eastAsia="宋体"/>
          <w:sz w:val="24"/>
          <w:szCs w:val="24"/>
        </w:rPr>
        <w:t>35</w:t>
      </w:r>
      <w:r>
        <w:rPr>
          <w:rFonts w:hint="eastAsia" w:ascii="宋体" w:hAnsi="宋体" w:eastAsia="宋体"/>
          <w:sz w:val="24"/>
          <w:szCs w:val="24"/>
        </w:rPr>
        <w:fldChar w:fldCharType="end"/>
      </w:r>
      <w:r>
        <w:rPr>
          <w:rFonts w:hint="eastAsia" w:ascii="宋体" w:hAnsi="宋体" w:eastAsia="宋体"/>
          <w:sz w:val="24"/>
          <w:szCs w:val="24"/>
        </w:rPr>
        <w:fldChar w:fldCharType="end"/>
      </w:r>
    </w:p>
    <w:p w14:paraId="0DD395C6">
      <w:pPr>
        <w:spacing w:line="360" w:lineRule="auto"/>
        <w:rPr>
          <w:rFonts w:hint="eastAsia" w:ascii="宋体" w:hAnsi="宋体" w:eastAsia="宋体"/>
          <w:sz w:val="24"/>
          <w:szCs w:val="24"/>
        </w:rPr>
      </w:pPr>
      <w:r>
        <w:rPr>
          <w:rFonts w:hint="eastAsia" w:ascii="宋体" w:hAnsi="宋体" w:eastAsia="宋体"/>
          <w:sz w:val="24"/>
          <w:szCs w:val="24"/>
        </w:rPr>
        <w:fldChar w:fldCharType="end"/>
      </w:r>
    </w:p>
    <w:p w14:paraId="09257685">
      <w:pPr>
        <w:spacing w:line="360" w:lineRule="auto"/>
        <w:rPr>
          <w:rFonts w:hint="eastAsia" w:ascii="宋体" w:hAnsi="宋体" w:eastAsia="宋体"/>
          <w:sz w:val="24"/>
          <w:szCs w:val="24"/>
        </w:rPr>
      </w:pPr>
    </w:p>
    <w:p w14:paraId="7D407885">
      <w:pPr>
        <w:spacing w:line="360" w:lineRule="auto"/>
        <w:ind w:firstLine="480" w:firstLineChars="200"/>
        <w:rPr>
          <w:rFonts w:hint="eastAsia" w:ascii="宋体" w:hAnsi="宋体" w:eastAsia="宋体"/>
          <w:sz w:val="24"/>
          <w:szCs w:val="24"/>
        </w:rPr>
      </w:pPr>
    </w:p>
    <w:p w14:paraId="2D5C8CF7">
      <w:pPr>
        <w:spacing w:line="360" w:lineRule="auto"/>
        <w:ind w:firstLine="480" w:firstLineChars="200"/>
        <w:rPr>
          <w:rFonts w:hint="eastAsia" w:ascii="宋体" w:hAnsi="宋体" w:eastAsia="宋体"/>
          <w:sz w:val="24"/>
          <w:szCs w:val="24"/>
        </w:rPr>
      </w:pPr>
    </w:p>
    <w:p w14:paraId="5298A2F1">
      <w:pPr>
        <w:spacing w:line="360" w:lineRule="auto"/>
        <w:ind w:firstLine="480" w:firstLineChars="200"/>
        <w:rPr>
          <w:rFonts w:hint="eastAsia" w:ascii="宋体" w:hAnsi="宋体" w:eastAsia="宋体"/>
          <w:sz w:val="24"/>
          <w:szCs w:val="24"/>
        </w:rPr>
      </w:pPr>
    </w:p>
    <w:p w14:paraId="44AFCEC4">
      <w:pPr>
        <w:spacing w:line="360" w:lineRule="auto"/>
        <w:ind w:firstLine="480" w:firstLineChars="200"/>
        <w:rPr>
          <w:rFonts w:hint="eastAsia" w:ascii="宋体" w:hAnsi="宋体" w:eastAsia="宋体"/>
          <w:sz w:val="24"/>
          <w:szCs w:val="24"/>
        </w:rPr>
      </w:pPr>
    </w:p>
    <w:p w14:paraId="279C1F87">
      <w:pPr>
        <w:spacing w:line="360" w:lineRule="auto"/>
        <w:rPr>
          <w:rFonts w:hint="eastAsia" w:ascii="宋体" w:hAnsi="宋体" w:eastAsia="宋体"/>
          <w:sz w:val="24"/>
          <w:szCs w:val="24"/>
        </w:rPr>
      </w:pPr>
    </w:p>
    <w:p w14:paraId="2B724E38">
      <w:pPr>
        <w:spacing w:line="360" w:lineRule="auto"/>
        <w:rPr>
          <w:rFonts w:hint="eastAsia" w:ascii="宋体" w:hAnsi="宋体" w:eastAsia="宋体"/>
          <w:sz w:val="24"/>
          <w:szCs w:val="24"/>
        </w:rPr>
      </w:pPr>
    </w:p>
    <w:p w14:paraId="5B2F7B75">
      <w:pPr>
        <w:widowControl/>
        <w:jc w:val="left"/>
        <w:rPr>
          <w:rFonts w:hint="eastAsia" w:ascii="宋体" w:hAnsi="宋体" w:eastAsia="宋体"/>
          <w:sz w:val="24"/>
          <w:szCs w:val="24"/>
        </w:rPr>
      </w:pPr>
      <w:r>
        <w:rPr>
          <w:rFonts w:hint="eastAsia" w:ascii="宋体" w:hAnsi="宋体" w:eastAsia="宋体"/>
          <w:sz w:val="24"/>
          <w:szCs w:val="24"/>
        </w:rPr>
        <w:br w:type="page"/>
      </w:r>
    </w:p>
    <w:p w14:paraId="47A00B6C">
      <w:pPr>
        <w:pStyle w:val="52"/>
        <w:rPr>
          <w:rFonts w:hint="eastAsia"/>
        </w:rPr>
      </w:pPr>
      <w:bookmarkStart w:id="0" w:name="_Toc232355745"/>
      <w:r>
        <w:rPr>
          <w:rFonts w:hint="eastAsia"/>
        </w:rPr>
        <w:t>一、项目背景</w:t>
      </w:r>
      <w:bookmarkEnd w:id="0"/>
    </w:p>
    <w:p w14:paraId="61E318DB">
      <w:pPr>
        <w:spacing w:line="360" w:lineRule="auto"/>
        <w:ind w:firstLine="480" w:firstLineChars="200"/>
        <w:outlineLvl w:val="1"/>
        <w:rPr>
          <w:rFonts w:hint="eastAsia" w:ascii="宋体" w:hAnsi="宋体" w:eastAsia="宋体"/>
          <w:sz w:val="24"/>
          <w:szCs w:val="24"/>
        </w:rPr>
      </w:pPr>
      <w:bookmarkStart w:id="1" w:name="_Toc232355746"/>
      <w:r>
        <w:rPr>
          <w:rFonts w:hint="eastAsia" w:ascii="宋体" w:hAnsi="宋体" w:eastAsia="宋体"/>
          <w:sz w:val="24"/>
          <w:szCs w:val="24"/>
        </w:rPr>
        <w:t>1.1 政策背景</w:t>
      </w:r>
      <w:bookmarkEnd w:id="1"/>
    </w:p>
    <w:p w14:paraId="603D759B">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近年来，国家从健康中国建设、教育数字化、青年发展、就业保障四大维度密集出台政策，持续加码全民心理健康服务建设，明确鼓励人工智能、机器视觉等数字技术与心理服务深度融合，为本项目 “基于 YOLO 的情绪识别与心灵疗愈多智能体协作系统” 提供了扎实的政策支撑、合规依据与落地场景。</w:t>
      </w:r>
    </w:p>
    <w:p w14:paraId="30D5924D">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在国家顶层战略层面，《健康中国行动（2019—2030 年）》将国民心理健康纳入全民健康核心范畴，提出健全社会心理服务体系，普及压力疏导、情绪调节服务，推动心理服务下沉至校园、职场等各类场景，明确了心理健康服务普惠化、常态化的发展方向。《“十五五” 规划纲要》进一步强调青年综合素质培育与心理韧性建设，要求聚焦校园到职场的转型群体，完善全周期成长与心理支持体系，直面青年焦虑、情绪内耗、适应困难等共性问题，为本项目锁定核心服务人群划定了政策导向。针对心理服务数字化转型，国家卫健委发布的《社会心理服务体系建设 2026 年工作要点》，将心理服务数字化列为年度重点任务，着力破解传统心理服务专业人才不足、服务覆盖不均、动态监测能力薄弱等行业顽疾。</w:t>
      </w:r>
    </w:p>
    <w:p w14:paraId="0C5A6965">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在教育领域，系列政策持续推动校园心理健康数字化升级。教育部等十七部门联合印发《全面加强和改进新时代学生心理健康工作专项行动计划（2023—2025 年）》，要求构建 “健康教育、监测预警、咨询服务、干预处置” 四位一体的校园心理体系，落实常态化心理测评、建立 “一生一策” 动态心理健康档案，推动心理服务从被动干预转向前置预防。《教育强国建设规划纲要（2024—2035 年）》《进一步加强中小学生心理健康工作十条措施》同步提出，依托人工智能、大数据等现代信息技术赋能校园心育工作，支持开发 AI 心理助手、智能减压、情绪监测类工具，建设全国学生心理健康监测预警系统，打通 “筛查 — 预警 — 干预 — 追踪” 全流程中华人民共和国教育部。2026 年正式落地的《“人工智能 + 教育” 行动计划》，更是将智能心理健康服务纳入教育数字化核心布局，明确 AI 心育为校园建设硬性指标，要求各类学校普及数字化心理工具，同时严格规范学生心理数据安全与隐私保护标准，为本项目面向高校、中小学开展 B 端服务划定合规边界。此外，《中小学心理健康教育数字化建设指南》提出，2028 年全国中小学心理健康教育数字化覆盖率需达到 90% 以上，校园数字化心理工具迎来规模化采购与落地窗口期。</w:t>
      </w:r>
    </w:p>
    <w:p w14:paraId="0389FDDE">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在职场与青年就业领域，国家出台的就业优先系列政策明确提出，强化高校毕业生、职场新人的职业适应、压力管理与情绪疏导服务。当前国内企业 EAP（员工援助计划）整体覆盖率偏低，传统线下心理辅导成本高、触达率不足，政策鼓励企业引入轻量化数字化心理工具，完善员工人文关怀与心理健康保障。与此同时，各地高校、人社部门持续推进 “就业公共服务进校园”“国聘行动” 等专项工作，将情绪管理、职场心态调整纳入求职与岗前培训体系，进一步拓宽了本项目在职场新人、企业员工群体的应用场景。</w:t>
      </w:r>
    </w:p>
    <w:p w14:paraId="5FDCEDA3">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综合来看，当前政策形成了国家引导、教育主推、职场延伸、技术赋能的完整格局：一方面要求补齐传统心理服务的人力短板与覆盖缺口，另一方面大力扶持 AI、机器视觉等数字化心理产品，政策红利持续释放，市场准入环境持续优化，为本项目依托 YOLO 视觉识别、多智能体技术打造智能化情绪疗愈 APP，开展 C 端个人服务 + B 端校园、企业服务的 B2B2C 运营模式，创造了绝佳的政策环境。</w:t>
      </w:r>
    </w:p>
    <w:p w14:paraId="399564B3">
      <w:pPr>
        <w:spacing w:line="360" w:lineRule="auto"/>
        <w:ind w:firstLine="480" w:firstLineChars="200"/>
        <w:outlineLvl w:val="1"/>
        <w:rPr>
          <w:rFonts w:hint="eastAsia" w:ascii="宋体" w:hAnsi="宋体" w:eastAsia="宋体"/>
          <w:sz w:val="24"/>
          <w:szCs w:val="24"/>
        </w:rPr>
      </w:pPr>
      <w:bookmarkStart w:id="2" w:name="_Toc232355747"/>
      <w:r>
        <w:rPr>
          <w:rFonts w:hint="eastAsia" w:ascii="宋体" w:hAnsi="宋体" w:eastAsia="宋体"/>
          <w:sz w:val="24"/>
          <w:szCs w:val="24"/>
        </w:rPr>
        <w:t>1.2 行业趋势</w:t>
      </w:r>
      <w:bookmarkEnd w:id="2"/>
    </w:p>
    <w:p w14:paraId="334502BE">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伴随全民心理健康意识觉醒、人工智能技术迭代升级，国内心理健康服务行业正告别传统人工咨询、主观量表测评的单一模式，数字化、智能化、客观化、全链路成为核心发展方向。本项目聚焦焦虑躯体化识别与多智能体疗愈，深度契合当下四大主流行业趋势，细分赛道蓝海特征显著。</w:t>
      </w:r>
    </w:p>
    <w:p w14:paraId="7986F315">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（一）市场需求持续扩容，供需缺口催生数字化替代方案</w:t>
      </w:r>
    </w:p>
    <w:p w14:paraId="49287872">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国内心理健康市场进入高速增长周期，据行业数据统计，中国泛心理健康服务市场年复合增长率超 15%，预计 2030 年整体市场规模将突破 5000 亿元。其中 18-35 岁青年学生、职场人群成为核心需求群体，《2026 青年情绪白皮书》等多项调研显示，62.8% 的青年处于中高压力状态，73.9% 的青年存在不同程度焦虑情绪，抠手、抖腿、皱眉、肢体僵硬、无意识踱步等焦虑躯体化行为成为普遍现象，这类无意识动作是情绪异常的重要外在信号，但用户自身普遍难以察觉，极易导致小情绪逐步演变为重度焦虑、失眠、躯体疼痛等问题。</w:t>
      </w:r>
    </w:p>
    <w:p w14:paraId="30A18528">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从供给端来看，行业存在三重结构性缺口：一是专业心理人才严重短缺，国内注册心理治疗师数量远未达到国际配比标准，人工筛查、一对一咨询无法覆盖海量用户需求；二是传统服务门槛居高不下，线下心理咨询单次收费 300-1500 元，加之 “病耻感” 影响，高校心理咨询知晓率超 70% 但实际使用率不足 10%，企业 EAP 服务覆盖率与实际使用率均低于 5%，大量有需求的人群主动回避线下求助36氪；三是现有线上产品功能存在明显短板，市面主流情绪 APP 以心情打卡、文字量表、冥想音频为主，完全依赖用户主观填报，数据真实性低，无法捕捉无意识躯体动作，难以实现 “早发现、早干预”。在此背景下，低门槛、无接触、客观精准的数字化情绪识别与疗愈工具成为市场刚需。</w:t>
      </w:r>
    </w:p>
    <w:p w14:paraId="3F7E1DE8">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（二）技术路线迭代：从文本语音识别转向视觉多模态感知</w:t>
      </w:r>
    </w:p>
    <w:p w14:paraId="644E26F8">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在 AI 情感计算领域，行业技术路径正在发生关键性升级。早期情绪识别产品以文本语义分析、语音语调识别为主，属于单一模态感知，易出现用户刻意伪装情绪、识别结果偏差较大的问题。而计算机视觉技术凭借非接触、实时性、客观性强的优势，逐步成为情绪识别主流方向，IDC 数据显示，目前计算机视觉流派已占据商用情绪识别市场 42% 的份额。</w:t>
      </w:r>
    </w:p>
    <w:p w14:paraId="2539E232">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YOLO 作为轻量化、高准确率、适配移动端的主流目标检测算法，能够实时捕捉人体微表情、肢体动作、行为轨迹等视觉特征，精准识别焦虑、紧张、烦躁等隐性情绪，完美解决传统产品 “主观填报、真假难辨” 的痛点。同时，行业整体朝着多模态融合方向发展，单纯的识别功能已无法满足用户需求，“视觉识别 + 智能分析 + 个性化干预 + 长期陪伴” 的一体化产品成为主流演进方向。本项目以 YOLO 视觉识别为核心，搭配多智能体协作架构，整合动作检测、情绪研判、分层疗愈、数据追踪等模块，顺应了 “视觉优先、多模融合、软硬结合” 的技术发展潮流。</w:t>
      </w:r>
    </w:p>
    <w:p w14:paraId="38A7536F">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（三）产品形态升级：从单一工具走向全闭环服务体系</w:t>
      </w:r>
    </w:p>
    <w:p w14:paraId="063896CE">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过往心理类产品普遍功能碎片化，分为纯测评类、纯冥想类、纯咨询类三大品类，各模块相互割裂，无法形成 “识别 - 分析 - 干预 - 复盘” 的服务闭环。而当前用户需求已从 “单纯了解情绪” 升级为 “解决情绪问题、改善身心状态”，倒逼行业产品形态全面升级。</w:t>
      </w:r>
    </w:p>
    <w:p w14:paraId="43FE0945">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一方面，游戏化、陪伴式、轻量化成为产品体验主流趋势。青年用户排斥生硬的测评与说教式干预，更青睐低压力、常态化、陪伴式的产品形态，弱化心理服务的 “诊疗感”，消除用户心理抵触；另一方面，多智能体架构开始在心理健康领域落地应用，通过拆分不同功能智能体，分别承担动作识别、情绪分级、话术陪伴、疗愈方案推送、数据管理等工作，实现服务模块化、分工精细化，可根据用户焦虑程度匹配差异化疗愈内容，大幅提升服务的专业性与个性化程度。此外，长期情绪档案、状态趋势分析等增值功能逐步成为产品标配，满足用户长期情绪管理、高校常态化监测的需求。本项目构建的 “动作捕捉→情绪判定→智能干预→状态复盘” 全闭环体系，精准匹配行业产品升级趋势。</w:t>
      </w:r>
    </w:p>
    <w:p w14:paraId="03B66AE5">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（四）商业模式演进：C 端自助 + B 端采购的 B2B2C 模式成为主流</w:t>
      </w:r>
    </w:p>
    <w:p w14:paraId="082F89F8">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国内数字化心理产品的商业模式，已从早期单一 C 端付费下载、会员订阅，逐步演进为B 端校园 / 企业采购为根基、C 端个人增值服务为补充的 B2B2C 复合型模式。</w:t>
      </w:r>
    </w:p>
    <w:p w14:paraId="22CC9A1B">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在 B 端市场，高校、中小学、中小企业成为核心采购方。各大院校为落实心理健康数字化考核指标，亟需轻量化、易部署、合规性强的智能情绪监测工具，用于日常心理筛查、风险预警；企业为降低员工内耗、提升工作效率，逐步加大员工心理关怀投入，对移动端情绪管理工具需求持续上涨。相较于传统本地部署的心理系统，SaaS 形态的轻量化 APP 部署成本低、迭代速度快、数据可脱敏汇总，成为 B 端客户首选。在 C 端市场，18-35 岁青年群体付费意识逐步提升，愿意为 “情绪疏导、压力缓解、自我提升” 类轻量化服务付费，按次体验、月度 / 年度会员、个性化疗愈课程等付费模式已被市场充分验证。</w:t>
      </w:r>
    </w:p>
    <w:p w14:paraId="1E40BB54">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整体而言，当前心理健康数字化赛道需求旺盛、技术成熟、政策利好、商业模式清晰，但聚焦焦虑躯体化动作识别、搭载多智能体疗愈功能的细分产品仍处于蓝海阶段，暂无直接竞品。本项目立足视觉识别核心技术，打通校园、职场、个人三大场景，采用成熟的 B2B2C 运营模式，既契合行业整体发展规律，又凭借差异化技术与功能抢占细分赛道先机，具备极强的市场落地性与长期发展潜力。</w:t>
      </w:r>
    </w:p>
    <w:p w14:paraId="345F3DDD">
      <w:pPr>
        <w:spacing w:line="360" w:lineRule="auto"/>
        <w:rPr>
          <w:rFonts w:hint="eastAsia" w:ascii="宋体" w:hAnsi="宋体" w:eastAsia="宋体"/>
          <w:sz w:val="24"/>
          <w:szCs w:val="24"/>
        </w:rPr>
      </w:pPr>
    </w:p>
    <w:p w14:paraId="44D5118A">
      <w:pPr>
        <w:pStyle w:val="52"/>
        <w:rPr>
          <w:rFonts w:hint="eastAsia"/>
        </w:rPr>
      </w:pPr>
      <w:bookmarkStart w:id="3" w:name="_Toc232355748"/>
      <w:r>
        <w:rPr>
          <w:rFonts w:hint="eastAsia"/>
        </w:rPr>
        <w:t>二、项目方案</w:t>
      </w:r>
      <w:bookmarkEnd w:id="3"/>
    </w:p>
    <w:p w14:paraId="3D0EB532">
      <w:pPr>
        <w:spacing w:line="360" w:lineRule="auto"/>
        <w:ind w:firstLine="480" w:firstLineChars="200"/>
        <w:outlineLvl w:val="1"/>
        <w:rPr>
          <w:rFonts w:hint="eastAsia" w:ascii="宋体" w:hAnsi="宋体" w:eastAsia="宋体"/>
          <w:sz w:val="24"/>
          <w:szCs w:val="24"/>
        </w:rPr>
      </w:pPr>
      <w:bookmarkStart w:id="4" w:name="_Toc232355749"/>
      <w:r>
        <w:rPr>
          <w:rFonts w:hint="eastAsia" w:ascii="宋体" w:hAnsi="宋体" w:eastAsia="宋体"/>
          <w:sz w:val="24"/>
          <w:szCs w:val="24"/>
        </w:rPr>
        <w:t>2.1 项目定位</w:t>
      </w:r>
      <w:bookmarkEnd w:id="4"/>
    </w:p>
    <w:p w14:paraId="784A25BD">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「心安动识（MindEase）」是一款以多传感器融合 + YOLO 计算机视觉 + 深度学习为技术底座，融合 CBT 认知行为疗法、正念训练、习惯逆转训练等专业心理理论，面向儿童、青少年、职场人群、老年群体四大个人用户，以及学校、企业、医疗机构、养老机构四类机构用户的综合型数字心理健康平台。</w:t>
      </w:r>
    </w:p>
    <w:p w14:paraId="4F96B70D">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目标用户分层模型</w:t>
      </w:r>
    </w:p>
    <w:p w14:paraId="63F93D12">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层级</w:t>
      </w:r>
      <w:r>
        <w:rPr>
          <w:rFonts w:hint="eastAsia" w:ascii="宋体" w:hAnsi="宋体" w:eastAsia="宋体"/>
          <w:sz w:val="24"/>
          <w:szCs w:val="24"/>
        </w:rPr>
        <w:tab/>
      </w:r>
      <w:r>
        <w:rPr>
          <w:rFonts w:hint="eastAsia" w:ascii="宋体" w:hAnsi="宋体" w:eastAsia="宋体"/>
          <w:sz w:val="24"/>
          <w:szCs w:val="24"/>
        </w:rPr>
        <w:t>用户群体</w:t>
      </w:r>
      <w:r>
        <w:rPr>
          <w:rFonts w:hint="eastAsia" w:ascii="宋体" w:hAnsi="宋体" w:eastAsia="宋体"/>
          <w:sz w:val="24"/>
          <w:szCs w:val="24"/>
        </w:rPr>
        <w:tab/>
      </w:r>
      <w:r>
        <w:rPr>
          <w:rFonts w:hint="eastAsia" w:ascii="宋体" w:hAnsi="宋体" w:eastAsia="宋体"/>
          <w:sz w:val="24"/>
          <w:szCs w:val="24"/>
        </w:rPr>
        <w:t>核心痛点</w:t>
      </w:r>
      <w:r>
        <w:rPr>
          <w:rFonts w:hint="eastAsia" w:ascii="宋体" w:hAnsi="宋体" w:eastAsia="宋体"/>
          <w:sz w:val="24"/>
          <w:szCs w:val="24"/>
        </w:rPr>
        <w:tab/>
      </w:r>
      <w:r>
        <w:rPr>
          <w:rFonts w:hint="eastAsia" w:ascii="宋体" w:hAnsi="宋体" w:eastAsia="宋体"/>
          <w:sz w:val="24"/>
          <w:szCs w:val="24"/>
        </w:rPr>
        <w:t>触达渠道</w:t>
      </w:r>
    </w:p>
    <w:p w14:paraId="6BA8C316">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P0（核心)</w:t>
      </w:r>
      <w:r>
        <w:rPr>
          <w:rFonts w:hint="eastAsia" w:ascii="宋体" w:hAnsi="宋体" w:eastAsia="宋体"/>
          <w:sz w:val="24"/>
          <w:szCs w:val="24"/>
        </w:rPr>
        <w:tab/>
      </w:r>
      <w:r>
        <w:rPr>
          <w:rFonts w:hint="eastAsia" w:ascii="宋体" w:hAnsi="宋体" w:eastAsia="宋体"/>
          <w:sz w:val="24"/>
          <w:szCs w:val="24"/>
        </w:rPr>
        <w:t>12-25岁青少年及大学生</w:t>
      </w:r>
      <w:r>
        <w:rPr>
          <w:rFonts w:hint="eastAsia" w:ascii="宋体" w:hAnsi="宋体" w:eastAsia="宋体"/>
          <w:sz w:val="24"/>
          <w:szCs w:val="24"/>
        </w:rPr>
        <w:tab/>
      </w:r>
      <w:r>
        <w:rPr>
          <w:rFonts w:hint="eastAsia" w:ascii="宋体" w:hAnsi="宋体" w:eastAsia="宋体"/>
          <w:sz w:val="24"/>
          <w:szCs w:val="24"/>
        </w:rPr>
        <w:t>学业压力、社交焦虑、无意识BFRBs</w:t>
      </w:r>
      <w:r>
        <w:rPr>
          <w:rFonts w:hint="eastAsia" w:ascii="宋体" w:hAnsi="宋体" w:eastAsia="宋体"/>
          <w:sz w:val="24"/>
          <w:szCs w:val="24"/>
        </w:rPr>
        <w:tab/>
      </w:r>
      <w:r>
        <w:rPr>
          <w:rFonts w:hint="eastAsia" w:ascii="宋体" w:hAnsi="宋体" w:eastAsia="宋体"/>
          <w:sz w:val="24"/>
          <w:szCs w:val="24"/>
        </w:rPr>
        <w:t>学校心理中心、B站/小红书/抖音</w:t>
      </w:r>
    </w:p>
    <w:p w14:paraId="4451243E">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P0（核心)</w:t>
      </w:r>
      <w:r>
        <w:rPr>
          <w:rFonts w:hint="eastAsia" w:ascii="宋体" w:hAnsi="宋体" w:eastAsia="宋体"/>
          <w:sz w:val="24"/>
          <w:szCs w:val="24"/>
        </w:rPr>
        <w:tab/>
      </w:r>
      <w:r>
        <w:rPr>
          <w:rFonts w:hint="eastAsia" w:ascii="宋体" w:hAnsi="宋体" w:eastAsia="宋体"/>
          <w:sz w:val="24"/>
          <w:szCs w:val="24"/>
        </w:rPr>
        <w:t>25-45岁职场人群</w:t>
      </w:r>
      <w:r>
        <w:rPr>
          <w:rFonts w:hint="eastAsia" w:ascii="宋体" w:hAnsi="宋体" w:eastAsia="宋体"/>
          <w:sz w:val="24"/>
          <w:szCs w:val="24"/>
        </w:rPr>
        <w:tab/>
      </w:r>
      <w:r>
        <w:rPr>
          <w:rFonts w:hint="eastAsia" w:ascii="宋体" w:hAnsi="宋体" w:eastAsia="宋体"/>
          <w:sz w:val="24"/>
          <w:szCs w:val="24"/>
        </w:rPr>
        <w:t>工作压力、职业倦怠、隐性焦虑</w:t>
      </w:r>
      <w:r>
        <w:rPr>
          <w:rFonts w:hint="eastAsia" w:ascii="宋体" w:hAnsi="宋体" w:eastAsia="宋体"/>
          <w:sz w:val="24"/>
          <w:szCs w:val="24"/>
        </w:rPr>
        <w:tab/>
      </w:r>
      <w:r>
        <w:rPr>
          <w:rFonts w:hint="eastAsia" w:ascii="宋体" w:hAnsi="宋体" w:eastAsia="宋体"/>
          <w:sz w:val="24"/>
          <w:szCs w:val="24"/>
        </w:rPr>
        <w:t>企业EAP、LinkedIn/知乎</w:t>
      </w:r>
    </w:p>
    <w:p w14:paraId="77E84519">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P1(拓展)</w:t>
      </w:r>
      <w:r>
        <w:rPr>
          <w:rFonts w:hint="eastAsia" w:ascii="宋体" w:hAnsi="宋体" w:eastAsia="宋体"/>
          <w:sz w:val="24"/>
          <w:szCs w:val="24"/>
        </w:rPr>
        <w:tab/>
      </w:r>
      <w:r>
        <w:rPr>
          <w:rFonts w:hint="eastAsia" w:ascii="宋体" w:hAnsi="宋体" w:eastAsia="宋体"/>
          <w:sz w:val="24"/>
          <w:szCs w:val="24"/>
        </w:rPr>
        <w:t>6-12岁儿童</w:t>
      </w:r>
      <w:r>
        <w:rPr>
          <w:rFonts w:hint="eastAsia" w:ascii="宋体" w:hAnsi="宋体" w:eastAsia="宋体"/>
          <w:sz w:val="24"/>
          <w:szCs w:val="24"/>
        </w:rPr>
        <w:tab/>
      </w:r>
      <w:r>
        <w:rPr>
          <w:rFonts w:hint="eastAsia" w:ascii="宋体" w:hAnsi="宋体" w:eastAsia="宋体"/>
          <w:sz w:val="24"/>
          <w:szCs w:val="24"/>
        </w:rPr>
        <w:t>分离焦虑、咬指甲/拔毛早期干预</w:t>
      </w:r>
      <w:r>
        <w:rPr>
          <w:rFonts w:hint="eastAsia" w:ascii="宋体" w:hAnsi="宋体" w:eastAsia="宋体"/>
          <w:sz w:val="24"/>
          <w:szCs w:val="24"/>
        </w:rPr>
        <w:tab/>
      </w:r>
      <w:r>
        <w:rPr>
          <w:rFonts w:hint="eastAsia" w:ascii="宋体" w:hAnsi="宋体" w:eastAsia="宋体"/>
          <w:sz w:val="24"/>
          <w:szCs w:val="24"/>
        </w:rPr>
        <w:t>儿科/儿保科、家长社群</w:t>
      </w:r>
    </w:p>
    <w:p w14:paraId="24AFC379">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P1(拓展)</w:t>
      </w:r>
      <w:r>
        <w:rPr>
          <w:rFonts w:hint="eastAsia" w:ascii="宋体" w:hAnsi="宋体" w:eastAsia="宋体"/>
          <w:sz w:val="24"/>
          <w:szCs w:val="24"/>
        </w:rPr>
        <w:tab/>
      </w:r>
      <w:r>
        <w:rPr>
          <w:rFonts w:hint="eastAsia" w:ascii="宋体" w:hAnsi="宋体" w:eastAsia="宋体"/>
          <w:sz w:val="24"/>
          <w:szCs w:val="24"/>
        </w:rPr>
        <w:t>60+老年群体</w:t>
      </w:r>
      <w:r>
        <w:rPr>
          <w:rFonts w:hint="eastAsia" w:ascii="宋体" w:hAnsi="宋体" w:eastAsia="宋体"/>
          <w:sz w:val="24"/>
          <w:szCs w:val="24"/>
        </w:rPr>
        <w:tab/>
      </w:r>
      <w:r>
        <w:rPr>
          <w:rFonts w:hint="eastAsia" w:ascii="宋体" w:hAnsi="宋体" w:eastAsia="宋体"/>
          <w:sz w:val="24"/>
          <w:szCs w:val="24"/>
        </w:rPr>
        <w:t>老年焦虑、躯体化表现、认知退化</w:t>
      </w:r>
      <w:r>
        <w:rPr>
          <w:rFonts w:hint="eastAsia" w:ascii="宋体" w:hAnsi="宋体" w:eastAsia="宋体"/>
          <w:sz w:val="24"/>
          <w:szCs w:val="24"/>
        </w:rPr>
        <w:tab/>
      </w:r>
      <w:r>
        <w:rPr>
          <w:rFonts w:hint="eastAsia" w:ascii="宋体" w:hAnsi="宋体" w:eastAsia="宋体"/>
          <w:sz w:val="24"/>
          <w:szCs w:val="24"/>
        </w:rPr>
        <w:t>社区卫生中心、养老机构</w:t>
      </w:r>
    </w:p>
    <w:p w14:paraId="05EAC84F">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P2(B端)</w:t>
      </w:r>
      <w:r>
        <w:rPr>
          <w:rFonts w:hint="eastAsia" w:ascii="宋体" w:hAnsi="宋体" w:eastAsia="宋体"/>
          <w:sz w:val="24"/>
          <w:szCs w:val="24"/>
        </w:rPr>
        <w:tab/>
      </w:r>
      <w:r>
        <w:rPr>
          <w:rFonts w:hint="eastAsia" w:ascii="宋体" w:hAnsi="宋体" w:eastAsia="宋体"/>
          <w:sz w:val="24"/>
          <w:szCs w:val="24"/>
        </w:rPr>
        <w:t>临床机构(精神科/心理科)</w:t>
      </w:r>
      <w:r>
        <w:rPr>
          <w:rFonts w:hint="eastAsia" w:ascii="宋体" w:hAnsi="宋体" w:eastAsia="宋体"/>
          <w:sz w:val="24"/>
          <w:szCs w:val="24"/>
        </w:rPr>
        <w:tab/>
      </w:r>
      <w:r>
        <w:rPr>
          <w:rFonts w:hint="eastAsia" w:ascii="宋体" w:hAnsi="宋体" w:eastAsia="宋体"/>
          <w:sz w:val="24"/>
          <w:szCs w:val="24"/>
        </w:rPr>
        <w:t>缺乏客观量化工具</w:t>
      </w:r>
      <w:r>
        <w:rPr>
          <w:rFonts w:hint="eastAsia" w:ascii="宋体" w:hAnsi="宋体" w:eastAsia="宋体"/>
          <w:sz w:val="24"/>
          <w:szCs w:val="24"/>
        </w:rPr>
        <w:tab/>
      </w:r>
      <w:r>
        <w:rPr>
          <w:rFonts w:hint="eastAsia" w:ascii="宋体" w:hAnsi="宋体" w:eastAsia="宋体"/>
          <w:sz w:val="24"/>
          <w:szCs w:val="24"/>
        </w:rPr>
        <w:t>学术会议、医疗展会</w:t>
      </w:r>
    </w:p>
    <w:p w14:paraId="1B133FE4">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P2(B端)</w:t>
      </w:r>
      <w:r>
        <w:rPr>
          <w:rFonts w:hint="eastAsia" w:ascii="宋体" w:hAnsi="宋体" w:eastAsia="宋体"/>
          <w:sz w:val="24"/>
          <w:szCs w:val="24"/>
        </w:rPr>
        <w:tab/>
      </w:r>
      <w:r>
        <w:rPr>
          <w:rFonts w:hint="eastAsia" w:ascii="宋体" w:hAnsi="宋体" w:eastAsia="宋体"/>
          <w:sz w:val="24"/>
          <w:szCs w:val="24"/>
        </w:rPr>
        <w:t>学校/企业/养老机构</w:t>
      </w:r>
      <w:r>
        <w:rPr>
          <w:rFonts w:hint="eastAsia" w:ascii="宋体" w:hAnsi="宋体" w:eastAsia="宋体"/>
          <w:sz w:val="24"/>
          <w:szCs w:val="24"/>
        </w:rPr>
        <w:tab/>
      </w:r>
      <w:r>
        <w:rPr>
          <w:rFonts w:hint="eastAsia" w:ascii="宋体" w:hAnsi="宋体" w:eastAsia="宋体"/>
          <w:sz w:val="24"/>
          <w:szCs w:val="24"/>
        </w:rPr>
        <w:t>群体心理、健康管理需求</w:t>
      </w:r>
      <w:r>
        <w:rPr>
          <w:rFonts w:hint="eastAsia" w:ascii="宋体" w:hAnsi="宋体" w:eastAsia="宋体"/>
          <w:sz w:val="24"/>
          <w:szCs w:val="24"/>
        </w:rPr>
        <w:tab/>
      </w:r>
      <w:r>
        <w:rPr>
          <w:rFonts w:hint="eastAsia" w:ascii="宋体" w:hAnsi="宋体" w:eastAsia="宋体"/>
          <w:sz w:val="24"/>
          <w:szCs w:val="24"/>
        </w:rPr>
        <w:t>招投标、行业协会</w:t>
      </w:r>
    </w:p>
    <w:p w14:paraId="4C86C25A">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项目采用硬件终端 + 软件平台 + IP 陪伴 + 增值服务一体化模式，构建「检测 - 分析 - 干预 - 康复」四位一体的服务闭环。区别于单一检测工具、纯心理聊天软件，本项目兼顾个人日常疗愈与机构群体心理健康管理双重需求，以网页桌宠安小宁作为核心情感载体，弱化科技产品的监控属性，强化伙伴式陪伴体验，致力于成为国内领先的情绪躯体化行为智能识别与数字心理健康解决方案提供商。</w:t>
      </w:r>
    </w:p>
    <w:p w14:paraId="68DADD32">
      <w:pPr>
        <w:spacing w:line="360" w:lineRule="auto"/>
        <w:ind w:firstLine="480" w:firstLineChars="200"/>
        <w:outlineLvl w:val="2"/>
        <w:rPr>
          <w:rFonts w:hint="eastAsia" w:ascii="宋体" w:hAnsi="宋体" w:eastAsia="宋体"/>
          <w:sz w:val="24"/>
          <w:szCs w:val="24"/>
        </w:rPr>
      </w:pPr>
      <w:bookmarkStart w:id="5" w:name="_Toc232355750"/>
      <w:r>
        <w:rPr>
          <w:rFonts w:hint="eastAsia" w:ascii="宋体" w:hAnsi="宋体" w:eastAsia="宋体"/>
          <w:sz w:val="24"/>
          <w:szCs w:val="24"/>
        </w:rPr>
        <w:t>2.1.1 核心差异化优势</w:t>
      </w:r>
      <w:bookmarkEnd w:id="5"/>
    </w:p>
    <w:p w14:paraId="2F64B396">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对比传统人工监测、单一智能穿戴、常规心理 APP 等同类产品，本项目形成六大核心竞争优势：</w:t>
      </w:r>
    </w:p>
    <w:p w14:paraId="454A54F6">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1. 技术优势：创新采用多传感器融合 + YOLO 视觉 + 深度学习联合识别方案，识别精度≥90%，可精准区分 8 类焦虑躯体行为与 10 类日常动作，识别能力远超单一传感设备。</w:t>
      </w:r>
    </w:p>
    <w:p w14:paraId="4FAA488B">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2. 全场景优势：突破传统产品场景限制，同时覆盖居家、办公、校园、临床诊疗、养老看护五大使用场景，适配全年龄段用户。</w:t>
      </w:r>
    </w:p>
    <w:p w14:paraId="52ADDAE8">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3. 服务闭环优势：首创 “行为识别 + 数据分析 + 专业干预 + 长期疗愈” 完整服务链条，不再局限于单纯检测或单纯倾诉，实现从发现问题到解决问题的全流程服务。</w:t>
      </w:r>
    </w:p>
    <w:p w14:paraId="72B3CB06">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4. 模式优势：打造硬件销售、软件 SaaS 订阅、IP 周边、数据服务多元盈利模式，摆脱单一营收结构，商业可持续性更强。</w:t>
      </w:r>
    </w:p>
    <w:p w14:paraId="76808FBA">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5. 体验优势：搭载专属网页桌宠安小宁，以悬浮 IP 贯穿全产品，采用温柔提醒、伙伴式对话的交互形式，消除 “被监控” 的负面感受，打造治愈系使用体验。</w:t>
      </w:r>
    </w:p>
    <w:p w14:paraId="3D16B7CD">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6. 专业背书优势：项目依托高校科研团队，拥有多项专利、软件著作权与学术论文支撑，算法、干预方案均经过专业论证，专业性与可信度突出。</w:t>
      </w:r>
    </w:p>
    <w:p w14:paraId="2B95F63C">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维度</w:t>
      </w:r>
      <w:r>
        <w:rPr>
          <w:rFonts w:hint="eastAsia" w:ascii="宋体" w:hAnsi="宋体" w:eastAsia="宋体"/>
          <w:sz w:val="24"/>
          <w:szCs w:val="24"/>
        </w:rPr>
        <w:tab/>
      </w:r>
      <w:r>
        <w:rPr>
          <w:rFonts w:hint="eastAsia" w:ascii="宋体" w:hAnsi="宋体" w:eastAsia="宋体"/>
          <w:sz w:val="24"/>
          <w:szCs w:val="24"/>
        </w:rPr>
        <w:t>传统方案</w:t>
      </w:r>
      <w:r>
        <w:rPr>
          <w:rFonts w:hint="eastAsia" w:ascii="宋体" w:hAnsi="宋体" w:eastAsia="宋体"/>
          <w:sz w:val="24"/>
          <w:szCs w:val="24"/>
        </w:rPr>
        <w:tab/>
      </w:r>
      <w:r>
        <w:rPr>
          <w:rFonts w:hint="eastAsia" w:ascii="宋体" w:hAnsi="宋体" w:eastAsia="宋体"/>
          <w:sz w:val="24"/>
          <w:szCs w:val="24"/>
        </w:rPr>
        <w:t>心安动识</w:t>
      </w:r>
    </w:p>
    <w:p w14:paraId="33142F91">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检测方式</w:t>
      </w:r>
      <w:r>
        <w:rPr>
          <w:rFonts w:hint="eastAsia" w:ascii="宋体" w:hAnsi="宋体" w:eastAsia="宋体"/>
          <w:sz w:val="24"/>
          <w:szCs w:val="24"/>
        </w:rPr>
        <w:tab/>
      </w:r>
      <w:r>
        <w:rPr>
          <w:rFonts w:hint="eastAsia" w:ascii="宋体" w:hAnsi="宋体" w:eastAsia="宋体"/>
          <w:sz w:val="24"/>
          <w:szCs w:val="24"/>
        </w:rPr>
        <w:t>人工观察/单一传感器</w:t>
      </w:r>
      <w:r>
        <w:rPr>
          <w:rFonts w:hint="eastAsia" w:ascii="宋体" w:hAnsi="宋体" w:eastAsia="宋体"/>
          <w:sz w:val="24"/>
          <w:szCs w:val="24"/>
        </w:rPr>
        <w:tab/>
      </w:r>
      <w:r>
        <w:rPr>
          <w:rFonts w:hint="eastAsia" w:ascii="宋体" w:hAnsi="宋体" w:eastAsia="宋体"/>
          <w:sz w:val="24"/>
          <w:szCs w:val="24"/>
        </w:rPr>
        <w:t>多传感器融合 + YOLO视觉 + 深度学习</w:t>
      </w:r>
    </w:p>
    <w:p w14:paraId="2871AA5D">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识别精度</w:t>
      </w:r>
      <w:r>
        <w:rPr>
          <w:rFonts w:hint="eastAsia" w:ascii="宋体" w:hAnsi="宋体" w:eastAsia="宋体"/>
          <w:sz w:val="24"/>
          <w:szCs w:val="24"/>
        </w:rPr>
        <w:tab/>
      </w:r>
      <w:r>
        <w:rPr>
          <w:rFonts w:hint="eastAsia" w:ascii="宋体" w:hAnsi="宋体" w:eastAsia="宋体"/>
          <w:sz w:val="24"/>
          <w:szCs w:val="24"/>
        </w:rPr>
        <w:t>主观性强，漏检率高</w:t>
      </w:r>
      <w:r>
        <w:rPr>
          <w:rFonts w:hint="eastAsia" w:ascii="宋体" w:hAnsi="宋体" w:eastAsia="宋体"/>
          <w:sz w:val="24"/>
          <w:szCs w:val="24"/>
        </w:rPr>
        <w:tab/>
      </w:r>
      <w:r>
        <w:rPr>
          <w:rFonts w:hint="eastAsia" w:ascii="宋体" w:hAnsi="宋体" w:eastAsia="宋体"/>
          <w:sz w:val="24"/>
          <w:szCs w:val="24"/>
        </w:rPr>
        <w:t>≥90% 精准识别 8+ 类 BFRBs</w:t>
      </w:r>
    </w:p>
    <w:p w14:paraId="2BA17FB6">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覆盖场景</w:t>
      </w:r>
      <w:r>
        <w:rPr>
          <w:rFonts w:hint="eastAsia" w:ascii="宋体" w:hAnsi="宋体" w:eastAsia="宋体"/>
          <w:sz w:val="24"/>
          <w:szCs w:val="24"/>
        </w:rPr>
        <w:tab/>
      </w:r>
      <w:r>
        <w:rPr>
          <w:rFonts w:hint="eastAsia" w:ascii="宋体" w:hAnsi="宋体" w:eastAsia="宋体"/>
          <w:sz w:val="24"/>
          <w:szCs w:val="24"/>
        </w:rPr>
        <w:t>临床单点</w:t>
      </w:r>
      <w:r>
        <w:rPr>
          <w:rFonts w:hint="eastAsia" w:ascii="宋体" w:hAnsi="宋体" w:eastAsia="宋体"/>
          <w:sz w:val="24"/>
          <w:szCs w:val="24"/>
        </w:rPr>
        <w:tab/>
      </w:r>
      <w:r>
        <w:rPr>
          <w:rFonts w:hint="eastAsia" w:ascii="宋体" w:hAnsi="宋体" w:eastAsia="宋体"/>
          <w:sz w:val="24"/>
          <w:szCs w:val="24"/>
        </w:rPr>
        <w:t>临床+居家+办公+学校 全场景</w:t>
      </w:r>
    </w:p>
    <w:p w14:paraId="6DAD3F5B">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疗愈能力</w:t>
      </w:r>
      <w:r>
        <w:rPr>
          <w:rFonts w:hint="eastAsia" w:ascii="宋体" w:hAnsi="宋体" w:eastAsia="宋体"/>
          <w:sz w:val="24"/>
          <w:szCs w:val="24"/>
        </w:rPr>
        <w:tab/>
      </w:r>
      <w:r>
        <w:rPr>
          <w:rFonts w:hint="eastAsia" w:ascii="宋体" w:hAnsi="宋体" w:eastAsia="宋体"/>
          <w:sz w:val="24"/>
          <w:szCs w:val="24"/>
        </w:rPr>
        <w:t>无</w:t>
      </w:r>
      <w:r>
        <w:rPr>
          <w:rFonts w:hint="eastAsia" w:ascii="宋体" w:hAnsi="宋体" w:eastAsia="宋体"/>
          <w:sz w:val="24"/>
          <w:szCs w:val="24"/>
        </w:rPr>
        <w:tab/>
      </w:r>
      <w:r>
        <w:rPr>
          <w:rFonts w:hint="eastAsia" w:ascii="宋体" w:hAnsi="宋体" w:eastAsia="宋体"/>
          <w:sz w:val="24"/>
          <w:szCs w:val="24"/>
        </w:rPr>
        <w:t>CBT数字疗法 + 正念引导 + 生物反馈</w:t>
      </w:r>
    </w:p>
    <w:p w14:paraId="2A6488E3">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商业模式</w:t>
      </w:r>
      <w:r>
        <w:rPr>
          <w:rFonts w:hint="eastAsia" w:ascii="宋体" w:hAnsi="宋体" w:eastAsia="宋体"/>
          <w:sz w:val="24"/>
          <w:szCs w:val="24"/>
        </w:rPr>
        <w:tab/>
      </w:r>
      <w:r>
        <w:rPr>
          <w:rFonts w:hint="eastAsia" w:ascii="宋体" w:hAnsi="宋体" w:eastAsia="宋体"/>
          <w:sz w:val="24"/>
          <w:szCs w:val="24"/>
        </w:rPr>
        <w:t>单一硬件销售</w:t>
      </w:r>
      <w:r>
        <w:rPr>
          <w:rFonts w:hint="eastAsia" w:ascii="宋体" w:hAnsi="宋体" w:eastAsia="宋体"/>
          <w:sz w:val="24"/>
          <w:szCs w:val="24"/>
        </w:rPr>
        <w:tab/>
      </w:r>
      <w:r>
        <w:rPr>
          <w:rFonts w:hint="eastAsia" w:ascii="宋体" w:hAnsi="宋体" w:eastAsia="宋体"/>
          <w:sz w:val="24"/>
          <w:szCs w:val="24"/>
        </w:rPr>
        <w:t>硬件+软件SaaS+周边+数据服务 多元盈利</w:t>
      </w:r>
    </w:p>
    <w:p w14:paraId="6DE425A2">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学术背书</w:t>
      </w:r>
      <w:r>
        <w:rPr>
          <w:rFonts w:hint="eastAsia" w:ascii="宋体" w:hAnsi="宋体" w:eastAsia="宋体"/>
          <w:sz w:val="24"/>
          <w:szCs w:val="24"/>
        </w:rPr>
        <w:tab/>
      </w:r>
      <w:r>
        <w:rPr>
          <w:rFonts w:hint="eastAsia" w:ascii="宋体" w:hAnsi="宋体" w:eastAsia="宋体"/>
          <w:sz w:val="24"/>
          <w:szCs w:val="24"/>
        </w:rPr>
        <w:t>无</w:t>
      </w:r>
      <w:r>
        <w:rPr>
          <w:rFonts w:hint="eastAsia" w:ascii="宋体" w:hAnsi="宋体" w:eastAsia="宋体"/>
          <w:sz w:val="24"/>
          <w:szCs w:val="24"/>
        </w:rPr>
        <w:tab/>
      </w:r>
      <w:r>
        <w:rPr>
          <w:rFonts w:hint="eastAsia" w:ascii="宋体" w:hAnsi="宋体" w:eastAsia="宋体"/>
          <w:sz w:val="24"/>
          <w:szCs w:val="24"/>
        </w:rPr>
        <w:t>教授团队 + 软著 + 专利 + 论文 全链条支撑</w:t>
      </w:r>
    </w:p>
    <w:p w14:paraId="6484A864">
      <w:pPr>
        <w:spacing w:line="360" w:lineRule="auto"/>
        <w:ind w:firstLine="480" w:firstLineChars="200"/>
        <w:outlineLvl w:val="2"/>
        <w:rPr>
          <w:rFonts w:hint="eastAsia" w:ascii="宋体" w:hAnsi="宋体" w:eastAsia="宋体"/>
          <w:sz w:val="24"/>
          <w:szCs w:val="24"/>
        </w:rPr>
      </w:pPr>
      <w:bookmarkStart w:id="6" w:name="_Toc232355751"/>
      <w:r>
        <w:rPr>
          <w:rFonts w:hint="eastAsia" w:ascii="宋体" w:hAnsi="宋体" w:eastAsia="宋体"/>
          <w:sz w:val="24"/>
          <w:szCs w:val="24"/>
        </w:rPr>
        <w:t>2.1.2 产品核心理念</w:t>
      </w:r>
      <w:bookmarkEnd w:id="6"/>
    </w:p>
    <w:p w14:paraId="503CFDF0">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项目秉持科技向善，心身共治的核心理念，遵循「看见 - 理解 - 干预 - 疗愈」四层逻辑打造产品体系，将前沿技术与人文关怀深度融合：</w:t>
      </w:r>
    </w:p>
    <w:p w14:paraId="4EE6B275">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1. 看见（Detect）：依托多模态传感与 AI 视觉技术，无感捕捉用户无意识的焦虑躯体行为，实现全天候、非侵入式监测；</w:t>
      </w:r>
    </w:p>
    <w:p w14:paraId="03591D48">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2. 理解（Analyze）：通过时空特征提取、异常建模算法，量化用户焦虑程度，结合行为数据、生理数据生成个性化情绪健康画像；</w:t>
      </w:r>
    </w:p>
    <w:p w14:paraId="0CC5006B">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3. 干预（Intervene）：结合 CBT 认知行为疗法、习惯逆转训练、生物反馈等专业手段，实时介入，阻断 “焦虑 - 躯体动作” 的恶性循环；</w:t>
      </w:r>
    </w:p>
    <w:p w14:paraId="7CADB141">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4. 疗愈（Heal）：依靠长期行为追踪、匿名社群互助、专业心理咨询服务，帮助用户逐步调整心态与行为模式，实现长效心理健康。</w:t>
      </w:r>
    </w:p>
    <w:p w14:paraId="2E760725">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在产品设计上，我们借鉴优秀陪伴类产品思路，坚持让科技隐形，让陪伴显现，拒绝冰冷的工具化设计，将治愈感、陪伴感融入每一处交互。</w:t>
      </w:r>
    </w:p>
    <w:p w14:paraId="00FCEC17">
      <w:pPr>
        <w:spacing w:line="360" w:lineRule="auto"/>
        <w:ind w:firstLine="480" w:firstLineChars="200"/>
        <w:outlineLvl w:val="2"/>
        <w:rPr>
          <w:rFonts w:hint="eastAsia" w:ascii="宋体" w:hAnsi="宋体" w:eastAsia="宋体"/>
          <w:sz w:val="24"/>
          <w:szCs w:val="24"/>
        </w:rPr>
      </w:pPr>
      <w:bookmarkStart w:id="7" w:name="_Toc232355752"/>
      <w:r>
        <w:rPr>
          <w:rFonts w:hint="eastAsia" w:ascii="宋体" w:hAnsi="宋体" w:eastAsia="宋体"/>
          <w:sz w:val="24"/>
          <w:szCs w:val="24"/>
        </w:rPr>
        <w:t>2.1.3 核心 IP：网页桌宠安小宁</w:t>
      </w:r>
      <w:bookmarkEnd w:id="7"/>
    </w:p>
    <w:p w14:paraId="01F9D313">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网页桌宠安小宁是本项目标志性虚拟陪伴 IP，也是产品差异化的核心载体，以全局悬浮桌宠形式部署在 Web 端、移动端全页面，是用户最主要的交互入口与情感纽带。</w:t>
      </w:r>
    </w:p>
    <w:p w14:paraId="68233387">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1. 基础形态与交互：安小宁为治愈系卡通形象，以悬浮组件形式常驻页面，支持自由拖拽、边缘吸附，搭配丰富动态表情与动画效果，替代传统弹窗、系统通知，交互更柔和自然。</w:t>
      </w:r>
    </w:p>
    <w:p w14:paraId="297CAD27">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行为提醒功能：当 YOLO 视觉或传感设备检测到焦虑躯体行为时，安小宁会以气泡文案、动态表情进行温柔提示，不使用警报、红字等刺激性提醒，缓解用户抵触心理。</w:t>
      </w:r>
    </w:p>
    <w:p w14:paraId="2F0B7A00">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2. AI 对话载体：用户点击桌宠可一键唤起 AI 安心对话功能，依托大模型实现情绪倾诉、CBT 疏导、正念指导、行为解读等服务，打字机流式输出搭配温柔语气，打造沉浸式谈心体验。</w:t>
      </w:r>
    </w:p>
    <w:p w14:paraId="66541AC1">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3. 日常陪伴互动：安小宁会根据使用时段、用户情绪状态主动发起问候、正念引导、鼓励寄语，同步展示行为报告、成长变化，化身长期陪伴的情绪伙伴。</w:t>
      </w:r>
    </w:p>
    <w:p w14:paraId="43934644">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4. 视觉风格统一：IP 画风与产品整体暖色调、柔化视觉体系保持一致，结合自然音效、轻动效，全方位营造温馨治愈的使用氛围。</w:t>
      </w:r>
    </w:p>
    <w:p w14:paraId="03FB649D">
      <w:pPr>
        <w:spacing w:line="360" w:lineRule="auto"/>
        <w:ind w:firstLine="480" w:firstLineChars="200"/>
        <w:outlineLvl w:val="1"/>
        <w:rPr>
          <w:rFonts w:hint="eastAsia" w:ascii="宋体" w:hAnsi="宋体" w:eastAsia="宋体"/>
          <w:sz w:val="24"/>
          <w:szCs w:val="24"/>
        </w:rPr>
      </w:pPr>
      <w:bookmarkStart w:id="8" w:name="_Toc232355753"/>
      <w:r>
        <w:rPr>
          <w:rFonts w:hint="eastAsia" w:ascii="宋体" w:hAnsi="宋体" w:eastAsia="宋体"/>
          <w:sz w:val="24"/>
          <w:szCs w:val="24"/>
        </w:rPr>
        <w:t>2.2 产品整体设计与功能体系</w:t>
      </w:r>
      <w:bookmarkEnd w:id="8"/>
    </w:p>
    <w:p w14:paraId="5E4FA091">
      <w:pPr>
        <w:spacing w:line="360" w:lineRule="auto"/>
        <w:ind w:firstLine="480" w:firstLineChars="200"/>
        <w:outlineLvl w:val="2"/>
        <w:rPr>
          <w:rFonts w:hint="eastAsia" w:ascii="宋体" w:hAnsi="宋体" w:eastAsia="宋体"/>
          <w:sz w:val="24"/>
          <w:szCs w:val="24"/>
        </w:rPr>
      </w:pPr>
      <w:bookmarkStart w:id="9" w:name="_Toc232355754"/>
      <w:r>
        <w:rPr>
          <w:rFonts w:hint="eastAsia" w:ascii="宋体" w:hAnsi="宋体" w:eastAsia="宋体"/>
          <w:sz w:val="24"/>
          <w:szCs w:val="24"/>
        </w:rPr>
        <w:t>2.2.1 整体设计原则</w:t>
      </w:r>
      <w:bookmarkEnd w:id="9"/>
    </w:p>
    <w:p w14:paraId="2FCFCA18">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产品以温馨治愈的 “无形科技”为设计主线，确立五大设计原则，同时将网页桌宠安小宁融入所有设计环节：</w:t>
      </w:r>
    </w:p>
    <w:p w14:paraId="5188D861">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1. 柔软而非冰冷：页面采用大圆角、柔和渐变、毛玻璃卡片样式，搭配暖色系配色，弱化科技的距离感；</w:t>
      </w:r>
    </w:p>
    <w:p w14:paraId="09E1DD07">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2. 陪伴而非监控：以安小宁桌宠为核心，全程伙伴式交互，让用户感受到陪伴而非被监视；</w:t>
      </w:r>
    </w:p>
    <w:p w14:paraId="38E91C93">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3. 渐进而非强制：无倒计时、强警告等压迫性设计，引导节奏舒缓，不催促用户；</w:t>
      </w:r>
    </w:p>
    <w:p w14:paraId="61FA14BC">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4. 洞察而非直白展示：将枯燥数据转化为 “情绪之花”“心灵花园” 等可视化隐喻，直观易懂；</w:t>
      </w:r>
    </w:p>
    <w:p w14:paraId="51FA4843">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5. 疗愈融入交互：搭配自然白噪音、轻柔提示音、舒缓动画，让每一次操作都成为微型疗愈体验。</w:t>
      </w:r>
    </w:p>
    <w:p w14:paraId="09B315A0">
      <w:pPr>
        <w:spacing w:line="360" w:lineRule="auto"/>
        <w:ind w:firstLine="480" w:firstLineChars="200"/>
        <w:outlineLvl w:val="2"/>
        <w:rPr>
          <w:rFonts w:hint="eastAsia" w:ascii="宋体" w:hAnsi="宋体" w:eastAsia="宋体"/>
          <w:sz w:val="24"/>
          <w:szCs w:val="24"/>
        </w:rPr>
      </w:pPr>
      <w:bookmarkStart w:id="10" w:name="_Toc232355755"/>
      <w:r>
        <w:rPr>
          <w:rFonts w:hint="eastAsia" w:ascii="宋体" w:hAnsi="宋体" w:eastAsia="宋体"/>
          <w:sz w:val="24"/>
          <w:szCs w:val="24"/>
        </w:rPr>
        <w:t>2.2.2 产品矩阵</w:t>
      </w:r>
      <w:bookmarkEnd w:id="10"/>
    </w:p>
    <w:p w14:paraId="36514217">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本项目打造软硬件结合、多终端联动、C 端 + B 端协同的完整产品矩阵，包含六大板块，各模块数据互通、功能互补：</w:t>
      </w:r>
    </w:p>
    <w:p w14:paraId="66613136">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1. 用户端（Web 网页 + 移动端 APP）：面向个人用户，搭载视觉检测、AI 对话、正念练习、情绪记录等核心功能，全页面标配网页桌宠安小宁；</w:t>
      </w:r>
    </w:p>
    <w:p w14:paraId="39A9E20C">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临床医护端：面向医院心理科、精神科医护人员，包含患者管理、数据看板、疗效评估、远程预警、在线问诊功能；</w:t>
      </w:r>
    </w:p>
    <w:p w14:paraId="4551C2BF">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2. 机构管理后台：面向学校、企业、养老机构管理人员，提供群体数据统计、设备管理、报告生成、人员权限配置服务；</w:t>
      </w:r>
    </w:p>
    <w:p w14:paraId="6CA8F1CD">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3. 智能穿戴硬件：腕带式、贴片式多传感终端，全天候采集运动、心率、距离、温度等多维度数据，与软件平台联动；</w:t>
      </w:r>
    </w:p>
    <w:p w14:paraId="28512C33">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4. 安小宁 IP 陪伴系统：以网页桌宠为核心的全域交互体系，覆盖所有终端，统一陪伴体验；</w:t>
      </w:r>
    </w:p>
    <w:p w14:paraId="4D197B91">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5. IP 周边产品：基于安小宁形象开发日记本、贴纸、水杯、服饰等衍生产品，延伸品牌价值。</w:t>
      </w:r>
    </w:p>
    <w:p w14:paraId="65A637C0">
      <w:pPr>
        <w:spacing w:line="360" w:lineRule="auto"/>
        <w:ind w:firstLine="480" w:firstLineChars="200"/>
        <w:outlineLvl w:val="2"/>
        <w:rPr>
          <w:rFonts w:hint="eastAsia" w:ascii="宋体" w:hAnsi="宋体" w:eastAsia="宋体"/>
          <w:sz w:val="24"/>
          <w:szCs w:val="24"/>
        </w:rPr>
      </w:pPr>
      <w:bookmarkStart w:id="11" w:name="_Toc232355756"/>
      <w:r>
        <w:rPr>
          <w:rFonts w:hint="eastAsia" w:ascii="宋体" w:hAnsi="宋体" w:eastAsia="宋体"/>
          <w:sz w:val="24"/>
          <w:szCs w:val="24"/>
        </w:rPr>
        <w:t>2.2.3 核心功能模块详述</w:t>
      </w:r>
      <w:bookmarkEnd w:id="11"/>
    </w:p>
    <w:p w14:paraId="34B5A4EE">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1. 模块一：智能行为感知（核心检测模块）</w:t>
      </w:r>
    </w:p>
    <w:p w14:paraId="378512AE">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本模块整合 YOLO 视觉识别与多模态传感融合技术，是产品的基础核心功能。Web 端依托摄像头实现实时行为检测，所有推理运算在浏览器本地完成，原始视频不上传服务器，充分保护隐私。检测过程中网页桌宠安小宁悬浮在画面侧边，实时同步状态：识别到咬指甲、抓挠皮肤等焦虑躯体行为时，以温柔气泡话术提醒；检测结束后，自动生成可视化行为报告，并搭配安小宁的鼓励点评。系统可精准区分 8 类焦虑躯体化行为与 10 类日常动作，多传感器交叉验证，综合识别精度≥90%。</w:t>
      </w:r>
    </w:p>
    <w:p w14:paraId="072A7D59">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2. 模块二：情绪健康画像</w:t>
      </w:r>
    </w:p>
    <w:p w14:paraId="04177489">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基于行为频率、心率变异性、用户情绪自评三大维度，综合计算焦虑指数，生成日 / 周 / 月多周期行为趋势图。AI 自动分析行为高发场景、情绪触发诱因，对比干预前后的状态变化，形成完整个人健康档案。页面以 “情绪之花” 隐喻展示数据，安小宁会定期解读画像报告，给出个性化调整建议。</w:t>
      </w:r>
    </w:p>
    <w:p w14:paraId="12DE5DE6">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3. 模块三：数字心理干预（核心疗愈模块）</w:t>
      </w:r>
    </w:p>
    <w:p w14:paraId="77C507E2">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(1). 安心 AI 对话：点击网页桌宠安小宁即可一键进入对话界面，采用大模型 SSE 流式输出、打字机动效，基于 CBT 认知行为理论开展情绪疏导、压力倾诉、行为分析，支持快捷功能卡片，降低表达门槛。</w:t>
      </w:r>
    </w:p>
    <w:p w14:paraId="5CCC664E">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(2). 专项训练工具：包含 CBT 认知重构、HRT 习惯逆转训练、分级正念冥想、呼吸生物反馈四大类专业训练，搭配呼吸动画、自然白噪音，安小宁全程进行语音引导。</w:t>
      </w:r>
    </w:p>
    <w:p w14:paraId="287DAC42">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(3). 情绪日记：支持文字、语音两种记录方式，NLP 技术自动分析情绪倾向，结合当日行为数据生成摘要，可搭配专属情绪贴纸记录心情。</w:t>
      </w:r>
    </w:p>
    <w:p w14:paraId="7846255B">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4. 模块四：社区与专业支持</w:t>
      </w:r>
    </w:p>
    <w:p w14:paraId="36141BE8">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搭建匿名互助社群，由 AI + 人工双重审核，营造安全的交流环境；设置专家问答、系列情绪管理课程、24 小时紧急心理援助热线三大服务。安小宁会定期推送社群动态、课程提醒与暖心寄语，搭建 “自助 - 互助 - 专业帮扶” 三层支持体系。</w:t>
      </w:r>
    </w:p>
    <w:p w14:paraId="3C7F52E5">
      <w:pPr>
        <w:spacing w:line="360" w:lineRule="auto"/>
        <w:ind w:firstLine="480" w:firstLineChars="200"/>
        <w:outlineLvl w:val="2"/>
        <w:rPr>
          <w:rFonts w:hint="eastAsia" w:ascii="宋体" w:hAnsi="宋体" w:eastAsia="宋体"/>
          <w:sz w:val="24"/>
          <w:szCs w:val="24"/>
        </w:rPr>
      </w:pPr>
      <w:bookmarkStart w:id="12" w:name="_Toc232355757"/>
      <w:r>
        <w:rPr>
          <w:rFonts w:hint="eastAsia" w:ascii="宋体" w:hAnsi="宋体" w:eastAsia="宋体"/>
          <w:sz w:val="24"/>
          <w:szCs w:val="24"/>
        </w:rPr>
        <w:t>2.2.4 网页平台页面规划</w:t>
      </w:r>
      <w:bookmarkEnd w:id="12"/>
    </w:p>
    <w:p w14:paraId="7B9BFD32">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结合功能优先级，对 Web 端页面进行统一规划，所有页面均部署网页桌宠安小宁，保持体验一致性：</w:t>
      </w:r>
    </w:p>
    <w:p w14:paraId="2A4D577C">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1. 注册登录页：暖色调柔焦背景，安小宁动画问候，设置游客体验入口，降低首次使用门槛；</w:t>
      </w:r>
    </w:p>
    <w:p w14:paraId="7421EE4F">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2. 感知空间页：摄像头检测主页面，安小宁悬浮陪伴，实时展示检测状态与提醒；</w:t>
      </w:r>
    </w:p>
    <w:p w14:paraId="54C04ABA">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3. 安心对话页：大模型流式对话界面，搭配呼吸练习等快捷功能卡片；</w:t>
      </w:r>
    </w:p>
    <w:p w14:paraId="6FFFAF7D">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4. 检测结果页：色块时间轴可视化报告，附安小宁个性化点评；</w:t>
      </w:r>
    </w:p>
    <w:p w14:paraId="3EFC3A28">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5. 心灵花园页：将行为改善数据映射为花园景观，焦虑减少则花草绽放，以趣味形式展现成长；</w:t>
      </w:r>
    </w:p>
    <w:p w14:paraId="6D4FF229">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6. 正念练习页：呼吸引导动画 + 多类自然白噪音，支持时长自定义；</w:t>
      </w:r>
    </w:p>
    <w:p w14:paraId="2F0A02BC">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情绪日记、健康画像、个人中心、周边商城：常规功能页面，延续治愈风格与 IP 陪伴交互。</w:t>
      </w:r>
    </w:p>
    <w:p w14:paraId="2E17B93E">
      <w:pPr>
        <w:spacing w:line="360" w:lineRule="auto"/>
        <w:ind w:firstLine="480" w:firstLineChars="200"/>
        <w:outlineLvl w:val="1"/>
        <w:rPr>
          <w:rFonts w:hint="eastAsia" w:ascii="宋体" w:hAnsi="宋体" w:eastAsia="宋体"/>
          <w:sz w:val="24"/>
          <w:szCs w:val="24"/>
        </w:rPr>
      </w:pPr>
      <w:bookmarkStart w:id="13" w:name="_Toc232355758"/>
      <w:r>
        <w:rPr>
          <w:rFonts w:hint="eastAsia" w:ascii="宋体" w:hAnsi="宋体" w:eastAsia="宋体"/>
          <w:sz w:val="24"/>
          <w:szCs w:val="24"/>
        </w:rPr>
        <w:t>2.3 品牌体系与 IP 衍生产品</w:t>
      </w:r>
      <w:bookmarkEnd w:id="13"/>
    </w:p>
    <w:p w14:paraId="5F2A5C48">
      <w:pPr>
        <w:spacing w:line="360" w:lineRule="auto"/>
        <w:ind w:firstLine="480" w:firstLineChars="200"/>
        <w:outlineLvl w:val="2"/>
        <w:rPr>
          <w:rFonts w:hint="eastAsia" w:ascii="宋体" w:hAnsi="宋体" w:eastAsia="宋体"/>
          <w:sz w:val="24"/>
          <w:szCs w:val="24"/>
        </w:rPr>
      </w:pPr>
      <w:bookmarkStart w:id="14" w:name="_Toc232355759"/>
      <w:r>
        <w:rPr>
          <w:rFonts w:hint="eastAsia" w:ascii="宋体" w:hAnsi="宋体" w:eastAsia="宋体"/>
          <w:sz w:val="24"/>
          <w:szCs w:val="24"/>
        </w:rPr>
        <w:t>2.3.1 基础品牌体系</w:t>
      </w:r>
      <w:bookmarkEnd w:id="14"/>
    </w:p>
    <w:p w14:paraId="77233169">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1. 品牌名称：心安动识（英文：MindEase），“心” 代表心理健康，“安” 代表安宁平和，“动” 代表躯体行为，“识” 代表智能识别；英文名由 Mind（心灵）+ Ease（舒缓）组合，传递 “舒缓心灵” 的核心内涵。</w:t>
      </w:r>
    </w:p>
    <w:p w14:paraId="1C2B81A2">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2. 品牌口号：主口号：看见焦虑，遇见安宁；副口号：See the unseen, heal the unspoken。</w:t>
      </w:r>
    </w:p>
    <w:p w14:paraId="4C18DA53">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3. 品牌调性：兼具温度感、专业感与希望感，以技术为根基，以陪伴为内核。</w:t>
      </w:r>
    </w:p>
    <w:p w14:paraId="707C7E03">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4. 视觉规范：主色选用宁静蓝、治愈绿，搭配温暖橙作为点缀，底色采用柔和白；字体选用思源黑体、Montserrat，整体视觉简约、柔和、统一。</w:t>
      </w:r>
    </w:p>
    <w:p w14:paraId="72FB2D73">
      <w:pPr>
        <w:spacing w:line="360" w:lineRule="auto"/>
        <w:ind w:firstLine="480" w:firstLineChars="200"/>
        <w:outlineLvl w:val="2"/>
        <w:rPr>
          <w:rFonts w:hint="eastAsia" w:ascii="宋体" w:hAnsi="宋体" w:eastAsia="宋体"/>
          <w:sz w:val="24"/>
          <w:szCs w:val="24"/>
        </w:rPr>
      </w:pPr>
      <w:bookmarkStart w:id="15" w:name="_Toc232355760"/>
      <w:r>
        <w:rPr>
          <w:rFonts w:hint="eastAsia" w:ascii="宋体" w:hAnsi="宋体" w:eastAsia="宋体"/>
          <w:sz w:val="24"/>
          <w:szCs w:val="24"/>
        </w:rPr>
        <w:t>2.3.2 Logo 设计方案</w:t>
      </w:r>
      <w:bookmarkEnd w:id="15"/>
    </w:p>
    <w:p w14:paraId="290B986E">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本次设计三套差异化 Logo 方案，均贴合品牌理念与安小宁治愈系风格：</w:t>
      </w:r>
    </w:p>
    <w:p w14:paraId="3CE36CFB">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1. 方案 A 心灵之眼：以圆环、眼睛、心形为组合，寓意科技之眼发现隐性焦虑，用爱心守护心理健康；</w:t>
      </w:r>
    </w:p>
    <w:p w14:paraId="7BD8BBC9">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2. 方案 B 绽放之叶：结合叶片、循环、星光元素，象征 “觉察 - 干预 - 疗愈 - 成长” 的正向循环；</w:t>
      </w:r>
    </w:p>
    <w:p w14:paraId="44A90FB8">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3. 方案 C 安心之环（推荐）：以环形串联检测、分析、疗愈三大核心环节，代表产品完整服务闭环。</w:t>
      </w:r>
    </w:p>
    <w:p w14:paraId="24CCEFDF">
      <w:pPr>
        <w:spacing w:line="360" w:lineRule="auto"/>
        <w:ind w:firstLine="480" w:firstLineChars="200"/>
        <w:outlineLvl w:val="2"/>
        <w:rPr>
          <w:rFonts w:hint="eastAsia" w:ascii="宋体" w:hAnsi="宋体" w:eastAsia="宋体"/>
          <w:sz w:val="24"/>
          <w:szCs w:val="24"/>
        </w:rPr>
      </w:pPr>
      <w:bookmarkStart w:id="16" w:name="_Toc232355761"/>
      <w:r>
        <w:rPr>
          <w:rFonts w:hint="eastAsia" w:ascii="宋体" w:hAnsi="宋体" w:eastAsia="宋体"/>
          <w:sz w:val="24"/>
          <w:szCs w:val="24"/>
        </w:rPr>
        <w:t>2.3.3 安小宁 IP 周边产品线</w:t>
      </w:r>
      <w:bookmarkEnd w:id="16"/>
    </w:p>
    <w:p w14:paraId="651AF24F">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围绕网页桌宠安小宁核心 IP，打造四大类周边产品，兼顾品牌传播、用户留存与营收增收：</w:t>
      </w:r>
    </w:p>
    <w:p w14:paraId="55CEB8A9">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1. 日常陪伴线：主题马克杯、口袋笔记本、钥匙扣、帆布袋，主打高频使用、轻量化传播；</w:t>
      </w:r>
    </w:p>
    <w:p w14:paraId="768EFDD0">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2. 情感表达线：情绪贴纸、品牌主题 T 恤，贴合年轻用户喜好，适合社交传播；</w:t>
      </w:r>
    </w:p>
    <w:p w14:paraId="66AC0D45">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3. 功能疗愈线：疗愈日记本、年度正念台历，内置心理练习模板、正念音频二维码，面向付费核心用户；</w:t>
      </w:r>
    </w:p>
    <w:p w14:paraId="718601E1">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4. 限量联名线：艺术家联名系列产品，打造稀缺性，提升品牌档次。</w:t>
      </w:r>
    </w:p>
    <w:p w14:paraId="3D031192">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所有周边产品均印制安小宁形象、品牌 Logo 与 slogan，线上平台、线下活动同步发售，形成 “产品使用 - 周边传播 - 品牌增长” 的正向飞轮。</w:t>
      </w:r>
    </w:p>
    <w:p w14:paraId="39C5D931">
      <w:pPr>
        <w:spacing w:line="360" w:lineRule="auto"/>
        <w:ind w:firstLine="480" w:firstLineChars="200"/>
        <w:rPr>
          <w:rFonts w:hint="eastAsia" w:ascii="宋体" w:hAnsi="宋体" w:eastAsia="宋体"/>
          <w:sz w:val="24"/>
          <w:szCs w:val="24"/>
        </w:rPr>
      </w:pPr>
    </w:p>
    <w:p w14:paraId="762A0DC1">
      <w:pPr>
        <w:pStyle w:val="52"/>
        <w:rPr>
          <w:rFonts w:hint="eastAsia"/>
        </w:rPr>
      </w:pPr>
      <w:bookmarkStart w:id="17" w:name="_Toc232355762"/>
      <w:r>
        <w:rPr>
          <w:rFonts w:hint="eastAsia"/>
        </w:rPr>
        <w:t>三、核心技术架构与技术支撑</w:t>
      </w:r>
      <w:bookmarkEnd w:id="17"/>
    </w:p>
    <w:p w14:paraId="465EA6F7">
      <w:pPr>
        <w:pStyle w:val="3"/>
        <w:keepNext w:val="0"/>
        <w:keepLines w:val="0"/>
        <w:spacing w:before="0" w:after="0" w:line="480" w:lineRule="exact"/>
        <w:ind w:firstLine="480" w:firstLineChars="200"/>
        <w:rPr>
          <w:rFonts w:hint="eastAsia" w:ascii="宋体" w:hAnsi="宋体" w:eastAsia="宋体" w:cs="Times New Roman"/>
          <w:bCs/>
          <w:color w:val="auto"/>
          <w:kern w:val="0"/>
          <w:sz w:val="24"/>
          <w:szCs w:val="24"/>
        </w:rPr>
      </w:pPr>
      <w:bookmarkStart w:id="18" w:name="_Toc232355763"/>
      <w:r>
        <w:rPr>
          <w:rFonts w:hint="eastAsia" w:ascii="宋体" w:hAnsi="宋体" w:eastAsia="宋体" w:cs="Times New Roman"/>
          <w:bCs/>
          <w:color w:val="auto"/>
          <w:kern w:val="0"/>
          <w:sz w:val="24"/>
          <w:szCs w:val="24"/>
        </w:rPr>
        <w:t>3.1 整体技术架构总览</w:t>
      </w:r>
      <w:bookmarkEnd w:id="18"/>
    </w:p>
    <w:p w14:paraId="38382354">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心安动识采用“边缘采集-云端计算-多端交互-全链路保障”的六层模块化技术架构，实现从多模态生理与行为数据采集、AI智能分析到个性化心理干预的全流程闭环，兼顾硬件低功耗、边缘低延迟与云端高可用的核心需求。</w:t>
      </w:r>
    </w:p>
    <w:p w14:paraId="5CB01FEF">
      <w:pPr>
        <w:pStyle w:val="4"/>
        <w:keepNext w:val="0"/>
        <w:keepLines w:val="0"/>
        <w:spacing w:before="0" w:after="0" w:line="480" w:lineRule="exact"/>
        <w:ind w:firstLine="482" w:firstLineChars="200"/>
        <w:rPr>
          <w:rFonts w:hint="eastAsia" w:ascii="宋体" w:hAnsi="宋体" w:eastAsia="宋体" w:cs="Times New Roman"/>
          <w:b/>
          <w:bCs/>
          <w:color w:val="auto"/>
          <w:kern w:val="0"/>
          <w:sz w:val="24"/>
          <w:szCs w:val="24"/>
        </w:rPr>
      </w:pPr>
      <w:bookmarkStart w:id="19" w:name="_Toc232355764"/>
      <w:r>
        <w:rPr>
          <w:rFonts w:hint="eastAsia" w:ascii="宋体" w:hAnsi="宋体" w:eastAsia="宋体" w:cs="Times New Roman"/>
          <w:b/>
          <w:bCs/>
          <w:color w:val="auto"/>
          <w:kern w:val="0"/>
          <w:sz w:val="24"/>
          <w:szCs w:val="24"/>
        </w:rPr>
        <w:t>3.1.1 完整六层架构详解</w:t>
      </w:r>
      <w:bookmarkEnd w:id="19"/>
    </w:p>
    <w:p w14:paraId="6BC60C88">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架构自上而下分层解耦，支持独立迭代与横向扩展，技术栈与模块均与项目实际开发方案完全一致，具体分层如下：</w:t>
      </w:r>
    </w:p>
    <w:p w14:paraId="27DBAF26">
      <w:pPr>
        <w:spacing w:line="480" w:lineRule="exact"/>
        <w:ind w:firstLine="482" w:firstLineChars="200"/>
        <w:rPr>
          <w:rFonts w:hint="eastAsia" w:ascii="宋体" w:hAnsi="宋体" w:eastAsia="宋体"/>
          <w:sz w:val="24"/>
          <w:szCs w:val="24"/>
        </w:rPr>
      </w:pPr>
      <w:r>
        <w:rPr>
          <w:rFonts w:hint="eastAsia" w:ascii="宋体" w:hAnsi="宋体" w:eastAsia="宋体"/>
          <w:b/>
          <w:bCs/>
          <w:sz w:val="24"/>
          <w:szCs w:val="24"/>
        </w:rPr>
        <w:t>1.应用层</w:t>
      </w:r>
      <w:r>
        <w:rPr>
          <w:rFonts w:hint="eastAsia" w:ascii="宋体" w:hAnsi="宋体" w:eastAsia="宋体"/>
          <w:sz w:val="24"/>
          <w:szCs w:val="24"/>
        </w:rPr>
        <w:t>：覆盖三类核心终端，包括面向普通用户的Web管理后台（React.js）与iOS/Android移动端（Flutter）、面向医疗机构的医护终端（WebView），提供统一的交互入口与多维度数据可视化能力。</w:t>
      </w:r>
    </w:p>
    <w:p w14:paraId="31DB1474">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2.</w:t>
      </w:r>
      <w:r>
        <w:rPr>
          <w:rFonts w:hint="eastAsia" w:ascii="宋体" w:hAnsi="宋体" w:eastAsia="宋体"/>
          <w:b/>
          <w:bCs/>
          <w:sz w:val="24"/>
          <w:szCs w:val="24"/>
        </w:rPr>
        <w:t>服务层</w:t>
      </w:r>
      <w:r>
        <w:rPr>
          <w:rFonts w:hint="eastAsia" w:ascii="宋体" w:hAnsi="宋体" w:eastAsia="宋体"/>
          <w:sz w:val="24"/>
          <w:szCs w:val="24"/>
        </w:rPr>
        <w:t>：基于RESTful API与WebSocket协议构建，通过Kong API网关实现路由转发与流量管控，采用JWT统一身份认证；核心服务包含用户服务（Spring）、行为检测服务（Fast API）、疗愈服务（Node.js），分别支撑用户全生命周期管理、BFRBs智能识别与数字心理干预三大核心场景。</w:t>
      </w:r>
    </w:p>
    <w:p w14:paraId="3CAC8334">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3.</w:t>
      </w:r>
      <w:r>
        <w:rPr>
          <w:rFonts w:hint="eastAsia" w:ascii="宋体" w:hAnsi="宋体" w:eastAsia="宋体"/>
          <w:b/>
          <w:bCs/>
          <w:sz w:val="24"/>
          <w:szCs w:val="24"/>
        </w:rPr>
        <w:t>AI算法层</w:t>
      </w:r>
      <w:r>
        <w:rPr>
          <w:rFonts w:hint="eastAsia" w:ascii="宋体" w:hAnsi="宋体" w:eastAsia="宋体"/>
          <w:sz w:val="24"/>
          <w:szCs w:val="24"/>
        </w:rPr>
        <w:t>：项目核心技术底座，集成三大核心算法模块：YOLOv8视觉动作识别模型（PyTorch）、Bi-LSTM+CNN时序行为分类模型（PyTorch）、基于AutoEncoder的异常检测联合优化模型；通过自研多模态特征融合引擎实现传感器数据与视觉数据的时空对齐（同步误差&lt;5ms）与跨模态注意力融合。</w:t>
      </w:r>
    </w:p>
    <w:p w14:paraId="41322C4B">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4.</w:t>
      </w:r>
      <w:r>
        <w:rPr>
          <w:rFonts w:hint="eastAsia" w:ascii="宋体" w:hAnsi="宋体" w:eastAsia="宋体"/>
          <w:b/>
          <w:bCs/>
          <w:sz w:val="24"/>
          <w:szCs w:val="24"/>
        </w:rPr>
        <w:t>数据采集层</w:t>
      </w:r>
      <w:r>
        <w:rPr>
          <w:rFonts w:hint="eastAsia" w:ascii="宋体" w:hAnsi="宋体" w:eastAsia="宋体"/>
          <w:sz w:val="24"/>
          <w:szCs w:val="24"/>
        </w:rPr>
        <w:t>：搭载ESP32-S3边缘计算芯片，集成9轴IMU（MPU-9250）、ToF飞行时间传感器（VL53L1X）、红外热电堆（MLX90614）、RGB摄像头（OV2640）与PPG心率传感器（MAX30102），支持BLE/NB-IoT低功耗通信；所有基础动作检测在本地完成，仅上传结构化JSON结果至云端，从源头保障用户隐私。</w:t>
      </w:r>
    </w:p>
    <w:p w14:paraId="3CDA213F">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5.</w:t>
      </w:r>
      <w:r>
        <w:rPr>
          <w:rFonts w:hint="eastAsia" w:ascii="宋体" w:hAnsi="宋体" w:eastAsia="宋体"/>
          <w:b/>
          <w:bCs/>
          <w:sz w:val="24"/>
          <w:szCs w:val="24"/>
        </w:rPr>
        <w:t>基础设施层</w:t>
      </w:r>
      <w:r>
        <w:rPr>
          <w:rFonts w:hint="eastAsia" w:ascii="宋体" w:hAnsi="宋体" w:eastAsia="宋体"/>
          <w:sz w:val="24"/>
          <w:szCs w:val="24"/>
        </w:rPr>
        <w:t>：提供稳定的数据存储与消息通信能力，采用PostgreSQL存储业务数据、Redis做缓存加速、MinIO存储模型文件与媒体资源、RabbitMQ实现消息队列异步处理。</w:t>
      </w:r>
    </w:p>
    <w:p w14:paraId="173A4C39">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6.</w:t>
      </w:r>
      <w:r>
        <w:rPr>
          <w:rFonts w:hint="eastAsia" w:ascii="宋体" w:hAnsi="宋体" w:eastAsia="宋体"/>
          <w:b/>
          <w:bCs/>
          <w:sz w:val="24"/>
          <w:szCs w:val="24"/>
        </w:rPr>
        <w:t>部署运维层</w:t>
      </w:r>
      <w:r>
        <w:rPr>
          <w:rFonts w:hint="eastAsia" w:ascii="宋体" w:hAnsi="宋体" w:eastAsia="宋体"/>
          <w:sz w:val="24"/>
          <w:szCs w:val="24"/>
        </w:rPr>
        <w:t>：基于Docker+K8s实现容器化编排，部署于阿里云/Azure混合云；通过Prometheus+Grafana实现全链路指标监控、ELK Stack收集分析系统日志；集成GitHub CI/CD自动化部署与WAF+SSL全链路安全防护，保障系统99.5%以上可用性。</w:t>
      </w:r>
    </w:p>
    <w:p w14:paraId="328AF47C">
      <w:pPr>
        <w:pStyle w:val="3"/>
        <w:keepNext w:val="0"/>
        <w:keepLines w:val="0"/>
        <w:spacing w:before="0" w:after="0" w:line="480" w:lineRule="exact"/>
        <w:ind w:firstLine="480" w:firstLineChars="200"/>
        <w:rPr>
          <w:rFonts w:hint="eastAsia" w:ascii="宋体" w:hAnsi="宋体" w:eastAsia="宋体" w:cs="Times New Roman"/>
          <w:bCs/>
          <w:color w:val="auto"/>
          <w:kern w:val="0"/>
          <w:sz w:val="24"/>
          <w:szCs w:val="24"/>
        </w:rPr>
      </w:pPr>
      <w:bookmarkStart w:id="20" w:name="_Toc232355765"/>
      <w:r>
        <w:rPr>
          <w:rFonts w:hint="eastAsia" w:ascii="宋体" w:hAnsi="宋体" w:eastAsia="宋体" w:cs="Times New Roman"/>
          <w:bCs/>
          <w:color w:val="auto"/>
          <w:kern w:val="0"/>
          <w:sz w:val="24"/>
          <w:szCs w:val="24"/>
        </w:rPr>
        <w:t>3.2 核心技术详解</w:t>
      </w:r>
      <w:bookmarkEnd w:id="20"/>
    </w:p>
    <w:p w14:paraId="17D2015B">
      <w:pPr>
        <w:pStyle w:val="4"/>
        <w:keepNext w:val="0"/>
        <w:keepLines w:val="0"/>
        <w:spacing w:before="0" w:after="0" w:line="480" w:lineRule="exact"/>
        <w:ind w:firstLine="482" w:firstLineChars="200"/>
        <w:rPr>
          <w:rFonts w:hint="eastAsia" w:ascii="宋体" w:hAnsi="宋体" w:eastAsia="宋体" w:cs="Times New Roman"/>
          <w:b/>
          <w:bCs/>
          <w:color w:val="auto"/>
          <w:kern w:val="0"/>
          <w:sz w:val="24"/>
          <w:szCs w:val="24"/>
        </w:rPr>
      </w:pPr>
      <w:bookmarkStart w:id="21" w:name="_Toc232355766"/>
      <w:r>
        <w:rPr>
          <w:rFonts w:hint="eastAsia" w:ascii="宋体" w:hAnsi="宋体" w:eastAsia="宋体" w:cs="Times New Roman"/>
          <w:b/>
          <w:bCs/>
          <w:color w:val="auto"/>
          <w:kern w:val="0"/>
          <w:sz w:val="24"/>
          <w:szCs w:val="24"/>
        </w:rPr>
        <w:t>3.2.1 多模态传感融合前端</w:t>
      </w:r>
      <w:bookmarkEnd w:id="21"/>
    </w:p>
    <w:p w14:paraId="6E8ABE65">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采用5类传感器协同感知方案，</w:t>
      </w:r>
      <w:r>
        <w:rPr>
          <w:rFonts w:ascii="宋体" w:hAnsi="宋体" w:eastAsia="宋体"/>
          <w:sz w:val="24"/>
          <w:szCs w:val="24"/>
        </w:rPr>
        <w:t>结合三级融合策略完成数据处理，方案与硬件设计标准保持一致</w:t>
      </w:r>
      <w:r>
        <w:rPr>
          <w:rFonts w:hint="eastAsia" w:ascii="宋体" w:hAnsi="宋体" w:eastAsia="宋体"/>
          <w:sz w:val="24"/>
          <w:szCs w:val="24"/>
        </w:rPr>
        <w:t>。</w:t>
      </w:r>
    </w:p>
    <w:p w14:paraId="5BB72DB0">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1.</w:t>
      </w:r>
      <w:r>
        <w:rPr>
          <w:rFonts w:hint="eastAsia" w:ascii="宋体" w:hAnsi="宋体" w:eastAsia="宋体"/>
          <w:b/>
          <w:bCs/>
          <w:sz w:val="24"/>
          <w:szCs w:val="24"/>
        </w:rPr>
        <w:t>时空级融合</w:t>
      </w:r>
      <w:r>
        <w:rPr>
          <w:rFonts w:hint="eastAsia" w:ascii="宋体" w:hAnsi="宋体" w:eastAsia="宋体"/>
          <w:sz w:val="24"/>
          <w:szCs w:val="24"/>
        </w:rPr>
        <w:t>：基于时间戳同步的多源数据配准，同步误差控制在5ms以内。</w:t>
      </w:r>
    </w:p>
    <w:p w14:paraId="1D60A2AA">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2.</w:t>
      </w:r>
      <w:r>
        <w:rPr>
          <w:rFonts w:hint="eastAsia" w:ascii="宋体" w:hAnsi="宋体" w:eastAsia="宋体"/>
          <w:b/>
          <w:bCs/>
          <w:sz w:val="24"/>
          <w:szCs w:val="24"/>
        </w:rPr>
        <w:t>特征级融合</w:t>
      </w:r>
      <w:r>
        <w:rPr>
          <w:rFonts w:hint="eastAsia" w:ascii="宋体" w:hAnsi="宋体" w:eastAsia="宋体"/>
          <w:sz w:val="24"/>
          <w:szCs w:val="24"/>
        </w:rPr>
        <w:t>：CNN提取空间特征+Bi-LSTM提取时序特征，通过跨模态注意力机制实现特征加权融合。</w:t>
      </w:r>
    </w:p>
    <w:p w14:paraId="1F4D128D">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3.</w:t>
      </w:r>
      <w:r>
        <w:rPr>
          <w:rFonts w:hint="eastAsia" w:ascii="宋体" w:hAnsi="宋体" w:eastAsia="宋体"/>
          <w:b/>
          <w:bCs/>
          <w:sz w:val="24"/>
          <w:szCs w:val="24"/>
        </w:rPr>
        <w:t>决策级融合</w:t>
      </w:r>
      <w:r>
        <w:rPr>
          <w:rFonts w:hint="eastAsia" w:ascii="宋体" w:hAnsi="宋体" w:eastAsia="宋体"/>
          <w:sz w:val="24"/>
          <w:szCs w:val="24"/>
        </w:rPr>
        <w:t>：采用加权投票机制集成视觉识别结果与传感识别结果，输出最终行为判定。</w:t>
      </w:r>
    </w:p>
    <w:p w14:paraId="6ACD66F0">
      <w:pPr>
        <w:pStyle w:val="4"/>
        <w:keepNext w:val="0"/>
        <w:keepLines w:val="0"/>
        <w:spacing w:before="0" w:after="0" w:line="480" w:lineRule="exact"/>
        <w:ind w:firstLine="482" w:firstLineChars="200"/>
        <w:rPr>
          <w:rFonts w:hint="eastAsia" w:ascii="宋体" w:hAnsi="宋体" w:eastAsia="宋体" w:cs="Times New Roman"/>
          <w:b/>
          <w:bCs/>
          <w:color w:val="auto"/>
          <w:kern w:val="0"/>
          <w:sz w:val="24"/>
          <w:szCs w:val="24"/>
        </w:rPr>
      </w:pPr>
      <w:bookmarkStart w:id="22" w:name="_Toc232355767"/>
      <w:r>
        <w:rPr>
          <w:rFonts w:hint="eastAsia" w:ascii="宋体" w:hAnsi="宋体" w:eastAsia="宋体" w:cs="Times New Roman"/>
          <w:b/>
          <w:bCs/>
          <w:color w:val="auto"/>
          <w:kern w:val="0"/>
          <w:sz w:val="24"/>
          <w:szCs w:val="24"/>
        </w:rPr>
        <w:t>3.3.2 YOLO视觉动作识别模型</w:t>
      </w:r>
      <w:bookmarkEnd w:id="22"/>
      <w:r>
        <w:rPr>
          <w:rFonts w:hint="eastAsia" w:ascii="宋体" w:hAnsi="宋体" w:eastAsia="宋体" w:cs="Times New Roman"/>
          <w:b/>
          <w:bCs/>
          <w:color w:val="auto"/>
          <w:kern w:val="0"/>
          <w:sz w:val="24"/>
          <w:szCs w:val="24"/>
        </w:rPr>
        <w:t xml:space="preserve"> </w:t>
      </w:r>
    </w:p>
    <w:p w14:paraId="64F2FC79">
      <w:pPr>
        <w:pStyle w:val="4"/>
        <w:keepNext w:val="0"/>
        <w:keepLines w:val="0"/>
        <w:spacing w:before="0" w:after="0" w:line="480" w:lineRule="exact"/>
        <w:ind w:firstLine="482" w:firstLineChars="200"/>
        <w:rPr>
          <w:rFonts w:hint="eastAsia" w:ascii="宋体" w:hAnsi="宋体" w:eastAsia="宋体" w:cs="Times New Roman"/>
          <w:b/>
          <w:bCs/>
          <w:color w:val="auto"/>
          <w:kern w:val="0"/>
          <w:sz w:val="24"/>
          <w:szCs w:val="24"/>
        </w:rPr>
      </w:pPr>
      <w:bookmarkStart w:id="23" w:name="_Toc232355768"/>
      <w:r>
        <w:rPr>
          <w:rFonts w:hint="eastAsia" w:ascii="宋体" w:hAnsi="宋体" w:eastAsia="宋体" w:cs="Times New Roman"/>
          <w:b/>
          <w:bCs/>
          <w:color w:val="auto"/>
          <w:kern w:val="0"/>
          <w:sz w:val="24"/>
          <w:szCs w:val="24"/>
        </w:rPr>
        <w:t>1.</w:t>
      </w:r>
      <w:r>
        <w:rPr>
          <w:rFonts w:hint="eastAsia" w:ascii="宋体" w:hAnsi="宋体" w:eastAsia="宋体"/>
          <w:b/>
          <w:bCs/>
          <w:color w:val="auto"/>
          <w:sz w:val="24"/>
          <w:szCs w:val="24"/>
        </w:rPr>
        <w:t>训练流程</w:t>
      </w:r>
      <w:r>
        <w:rPr>
          <w:rFonts w:hint="eastAsia" w:ascii="宋体" w:hAnsi="宋体" w:eastAsia="宋体"/>
          <w:color w:val="auto"/>
          <w:sz w:val="24"/>
          <w:szCs w:val="24"/>
        </w:rPr>
        <w:t>：20,000+标注样本→Mosaic+MixUp数据增强→预训练→微调→ONNX+TensorRT量化部署。</w:t>
      </w:r>
      <w:bookmarkEnd w:id="23"/>
    </w:p>
    <w:p w14:paraId="58CC8E63">
      <w:pPr>
        <w:pStyle w:val="4"/>
        <w:keepNext w:val="0"/>
        <w:keepLines w:val="0"/>
        <w:spacing w:before="0" w:after="0" w:line="480" w:lineRule="exact"/>
        <w:ind w:firstLine="480" w:firstLineChars="200"/>
        <w:rPr>
          <w:rFonts w:hint="eastAsia" w:ascii="宋体" w:hAnsi="宋体" w:eastAsia="宋体"/>
          <w:color w:val="auto"/>
          <w:sz w:val="24"/>
          <w:szCs w:val="24"/>
        </w:rPr>
      </w:pPr>
      <w:bookmarkStart w:id="24" w:name="_Toc232355769"/>
      <w:r>
        <w:rPr>
          <w:rFonts w:hint="eastAsia" w:ascii="宋体" w:hAnsi="宋体" w:eastAsia="宋体"/>
          <w:color w:val="auto"/>
          <w:sz w:val="24"/>
          <w:szCs w:val="24"/>
        </w:rPr>
        <w:t>2.</w:t>
      </w:r>
      <w:r>
        <w:rPr>
          <w:rFonts w:hint="eastAsia" w:ascii="宋体" w:hAnsi="宋体" w:eastAsia="宋体"/>
          <w:b/>
          <w:bCs/>
          <w:color w:val="auto"/>
          <w:sz w:val="24"/>
          <w:szCs w:val="24"/>
        </w:rPr>
        <w:t>识别范围</w:t>
      </w:r>
      <w:r>
        <w:rPr>
          <w:rFonts w:hint="eastAsia" w:ascii="宋体" w:hAnsi="宋体" w:eastAsia="宋体"/>
          <w:color w:val="auto"/>
          <w:sz w:val="24"/>
          <w:szCs w:val="24"/>
        </w:rPr>
        <w:t>：共18类行为，包含8类核心BFRBs（咬指甲、咬手指、拔头发、抓挠皮肤、抠手指、咀嚼嘴唇、撕扯指甲边缘、反复触摸面部）与10类日常动作。</w:t>
      </w:r>
      <w:bookmarkEnd w:id="24"/>
    </w:p>
    <w:p w14:paraId="3A7F6367">
      <w:pPr>
        <w:pStyle w:val="4"/>
        <w:keepNext w:val="0"/>
        <w:keepLines w:val="0"/>
        <w:spacing w:before="0" w:after="0" w:line="480" w:lineRule="exact"/>
        <w:ind w:firstLine="480" w:firstLineChars="200"/>
        <w:rPr>
          <w:rFonts w:hint="eastAsia" w:ascii="宋体" w:hAnsi="宋体" w:eastAsia="宋体" w:cs="Times New Roman"/>
          <w:b/>
          <w:bCs/>
          <w:color w:val="auto"/>
          <w:kern w:val="0"/>
          <w:sz w:val="24"/>
          <w:szCs w:val="24"/>
        </w:rPr>
      </w:pPr>
      <w:bookmarkStart w:id="25" w:name="_Toc232355770"/>
      <w:r>
        <w:rPr>
          <w:rFonts w:hint="eastAsia" w:ascii="宋体" w:hAnsi="宋体" w:eastAsia="宋体"/>
          <w:color w:val="auto"/>
          <w:sz w:val="24"/>
          <w:szCs w:val="24"/>
        </w:rPr>
        <w:t>3.</w:t>
      </w:r>
      <w:r>
        <w:rPr>
          <w:rFonts w:hint="eastAsia" w:ascii="宋体" w:hAnsi="宋体" w:eastAsia="宋体"/>
          <w:b/>
          <w:bCs/>
          <w:color w:val="auto"/>
          <w:sz w:val="24"/>
          <w:szCs w:val="24"/>
        </w:rPr>
        <w:t>性能指标</w:t>
      </w:r>
      <w:r>
        <w:rPr>
          <w:rFonts w:hint="eastAsia" w:ascii="宋体" w:hAnsi="宋体" w:eastAsia="宋体"/>
          <w:color w:val="auto"/>
          <w:sz w:val="24"/>
          <w:szCs w:val="24"/>
        </w:rPr>
        <w:t>：mAP≥92%，边缘端推理延迟&lt;50ms/帧。</w:t>
      </w:r>
      <w:bookmarkEnd w:id="25"/>
    </w:p>
    <w:p w14:paraId="44152E6D">
      <w:pPr>
        <w:pStyle w:val="4"/>
        <w:keepNext w:val="0"/>
        <w:keepLines w:val="0"/>
        <w:numPr>
          <w:ilvl w:val="2"/>
          <w:numId w:val="1"/>
        </w:numPr>
        <w:spacing w:before="0" w:after="0" w:line="480" w:lineRule="exact"/>
        <w:rPr>
          <w:rFonts w:hint="eastAsia" w:ascii="宋体" w:hAnsi="宋体" w:eastAsia="宋体" w:cs="Times New Roman"/>
          <w:b/>
          <w:bCs/>
          <w:color w:val="auto"/>
          <w:kern w:val="0"/>
          <w:sz w:val="24"/>
          <w:szCs w:val="24"/>
        </w:rPr>
      </w:pPr>
      <w:bookmarkStart w:id="26" w:name="_Toc232355771"/>
      <w:r>
        <w:rPr>
          <w:rFonts w:hint="eastAsia" w:ascii="宋体" w:hAnsi="宋体" w:eastAsia="宋体" w:cs="Times New Roman"/>
          <w:b/>
          <w:bCs/>
          <w:color w:val="auto"/>
          <w:kern w:val="0"/>
          <w:sz w:val="24"/>
          <w:szCs w:val="24"/>
        </w:rPr>
        <w:t>Bi-LSTM+CNN异常检测算法</w:t>
      </w:r>
      <w:bookmarkEnd w:id="26"/>
    </w:p>
    <w:p w14:paraId="7BA2D46D">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构建联合损失函数优化的异常检测模型，实现对用户异常行为模式的精准识别：</w:t>
      </w:r>
    </w:p>
    <w:p w14:paraId="30BC48B8">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1.</w:t>
      </w:r>
      <w:r>
        <w:rPr>
          <w:rFonts w:hint="eastAsia" w:ascii="宋体" w:hAnsi="宋体" w:eastAsia="宋体"/>
          <w:b/>
          <w:bCs/>
          <w:sz w:val="24"/>
          <w:szCs w:val="24"/>
        </w:rPr>
        <w:t>联合损失函数</w:t>
      </w:r>
      <w:r>
        <w:rPr>
          <w:rFonts w:hint="eastAsia" w:ascii="宋体" w:hAnsi="宋体" w:eastAsia="宋体"/>
          <w:sz w:val="24"/>
          <w:szCs w:val="24"/>
        </w:rPr>
        <w:t>：</w:t>
      </w:r>
      <m:oMath>
        <m:sSub>
          <m:sSubPr>
            <m:ctrlPr>
              <w:rPr>
                <w:rFonts w:ascii="Cambria Math" w:hAnsi="Cambria Math" w:eastAsia="宋体"/>
                <w:sz w:val="24"/>
                <w:szCs w:val="24"/>
              </w:rPr>
            </m:ctrlPr>
          </m:sSubPr>
          <m:e>
            <m:r>
              <m:rPr>
                <m:sty m:val="p"/>
                <m:scr m:val="script"/>
              </m:rPr>
              <w:rPr>
                <w:rFonts w:ascii="Cambria Math" w:hAnsi="Cambria Math" w:eastAsia="宋体"/>
                <w:sz w:val="24"/>
                <w:szCs w:val="24"/>
              </w:rPr>
              <m:t>ℒ</m:t>
            </m:r>
            <m:ctrlPr>
              <w:rPr>
                <w:rFonts w:ascii="Cambria Math" w:hAnsi="Cambria Math" w:eastAsia="宋体"/>
                <w:sz w:val="24"/>
                <w:szCs w:val="24"/>
              </w:rPr>
            </m:ctrlPr>
          </m:e>
          <m:sub>
            <m:r>
              <m:rPr/>
              <w:rPr>
                <w:rFonts w:ascii="Cambria Math" w:hAnsi="Cambria Math" w:eastAsia="宋体"/>
                <w:sz w:val="24"/>
                <w:szCs w:val="24"/>
              </w:rPr>
              <m:t>total</m:t>
            </m:r>
            <m:ctrlPr>
              <w:rPr>
                <w:rFonts w:ascii="Cambria Math" w:hAnsi="Cambria Math" w:eastAsia="宋体"/>
                <w:sz w:val="24"/>
                <w:szCs w:val="24"/>
              </w:rPr>
            </m:ctrlPr>
          </m:sub>
        </m:sSub>
        <m:r>
          <m:rPr/>
          <w:rPr>
            <w:rFonts w:ascii="Cambria Math" w:hAnsi="Cambria Math" w:eastAsia="宋体"/>
            <w:sz w:val="24"/>
            <w:szCs w:val="24"/>
          </w:rPr>
          <m:t>=α⋅</m:t>
        </m:r>
        <m:sSub>
          <m:sSubPr>
            <m:ctrlPr>
              <w:rPr>
                <w:rFonts w:ascii="Cambria Math" w:hAnsi="Cambria Math" w:eastAsia="宋体"/>
                <w:sz w:val="24"/>
                <w:szCs w:val="24"/>
              </w:rPr>
            </m:ctrlPr>
          </m:sSubPr>
          <m:e>
            <m:r>
              <m:rPr>
                <m:sty m:val="p"/>
                <m:scr m:val="script"/>
              </m:rPr>
              <w:rPr>
                <w:rFonts w:ascii="Cambria Math" w:hAnsi="Cambria Math" w:eastAsia="宋体"/>
                <w:sz w:val="24"/>
                <w:szCs w:val="24"/>
              </w:rPr>
              <m:t>ℒ</m:t>
            </m:r>
            <m:ctrlPr>
              <w:rPr>
                <w:rFonts w:ascii="Cambria Math" w:hAnsi="Cambria Math" w:eastAsia="宋体"/>
                <w:sz w:val="24"/>
                <w:szCs w:val="24"/>
              </w:rPr>
            </m:ctrlPr>
          </m:e>
          <m:sub>
            <m:r>
              <m:rPr/>
              <w:rPr>
                <w:rFonts w:ascii="Cambria Math" w:hAnsi="Cambria Math" w:eastAsia="宋体"/>
                <w:sz w:val="24"/>
                <w:szCs w:val="24"/>
              </w:rPr>
              <m:t>pred</m:t>
            </m:r>
            <m:ctrlPr>
              <w:rPr>
                <w:rFonts w:ascii="Cambria Math" w:hAnsi="Cambria Math" w:eastAsia="宋体"/>
                <w:sz w:val="24"/>
                <w:szCs w:val="24"/>
              </w:rPr>
            </m:ctrlPr>
          </m:sub>
        </m:sSub>
        <m:r>
          <m:rPr/>
          <w:rPr>
            <w:rFonts w:ascii="Cambria Math" w:hAnsi="Cambria Math" w:eastAsia="宋体"/>
            <w:sz w:val="24"/>
            <w:szCs w:val="24"/>
          </w:rPr>
          <m:t>+β⋅</m:t>
        </m:r>
        <m:sSub>
          <m:sSubPr>
            <m:ctrlPr>
              <w:rPr>
                <w:rFonts w:ascii="Cambria Math" w:hAnsi="Cambria Math" w:eastAsia="宋体"/>
                <w:sz w:val="24"/>
                <w:szCs w:val="24"/>
              </w:rPr>
            </m:ctrlPr>
          </m:sSubPr>
          <m:e>
            <m:r>
              <m:rPr>
                <m:sty m:val="p"/>
                <m:scr m:val="script"/>
              </m:rPr>
              <w:rPr>
                <w:rFonts w:ascii="Cambria Math" w:hAnsi="Cambria Math" w:eastAsia="宋体"/>
                <w:sz w:val="24"/>
                <w:szCs w:val="24"/>
              </w:rPr>
              <m:t>ℒ</m:t>
            </m:r>
            <m:ctrlPr>
              <w:rPr>
                <w:rFonts w:ascii="Cambria Math" w:hAnsi="Cambria Math" w:eastAsia="宋体"/>
                <w:sz w:val="24"/>
                <w:szCs w:val="24"/>
              </w:rPr>
            </m:ctrlPr>
          </m:e>
          <m:sub>
            <m:r>
              <m:rPr/>
              <w:rPr>
                <w:rFonts w:ascii="Cambria Math" w:hAnsi="Cambria Math" w:eastAsia="宋体"/>
                <w:sz w:val="24"/>
                <w:szCs w:val="24"/>
              </w:rPr>
              <m:t>recon</m:t>
            </m:r>
            <m:ctrlPr>
              <w:rPr>
                <w:rFonts w:ascii="Cambria Math" w:hAnsi="Cambria Math" w:eastAsia="宋体"/>
                <w:sz w:val="24"/>
                <w:szCs w:val="24"/>
              </w:rPr>
            </m:ctrlPr>
          </m:sub>
        </m:sSub>
        <m:r>
          <m:rPr/>
          <w:rPr>
            <w:rFonts w:ascii="Cambria Math" w:hAnsi="Cambria Math" w:eastAsia="宋体"/>
            <w:sz w:val="24"/>
            <w:szCs w:val="24"/>
          </w:rPr>
          <m:t>+γ⋅</m:t>
        </m:r>
        <m:sSub>
          <m:sSubPr>
            <m:ctrlPr>
              <w:rPr>
                <w:rFonts w:ascii="Cambria Math" w:hAnsi="Cambria Math" w:eastAsia="宋体"/>
                <w:sz w:val="24"/>
                <w:szCs w:val="24"/>
              </w:rPr>
            </m:ctrlPr>
          </m:sSubPr>
          <m:e>
            <m:r>
              <m:rPr>
                <m:sty m:val="p"/>
                <m:scr m:val="script"/>
              </m:rPr>
              <w:rPr>
                <w:rFonts w:ascii="Cambria Math" w:hAnsi="Cambria Math" w:eastAsia="宋体"/>
                <w:sz w:val="24"/>
                <w:szCs w:val="24"/>
              </w:rPr>
              <m:t>ℒ</m:t>
            </m:r>
            <m:ctrlPr>
              <w:rPr>
                <w:rFonts w:ascii="Cambria Math" w:hAnsi="Cambria Math" w:eastAsia="宋体"/>
                <w:sz w:val="24"/>
                <w:szCs w:val="24"/>
              </w:rPr>
            </m:ctrlPr>
          </m:e>
          <m:sub>
            <m:r>
              <m:rPr/>
              <w:rPr>
                <w:rFonts w:ascii="Cambria Math" w:hAnsi="Cambria Math" w:eastAsia="宋体"/>
                <w:sz w:val="24"/>
                <w:szCs w:val="24"/>
              </w:rPr>
              <m:t>class</m:t>
            </m:r>
            <m:ctrlPr>
              <w:rPr>
                <w:rFonts w:ascii="Cambria Math" w:hAnsi="Cambria Math" w:eastAsia="宋体"/>
                <w:sz w:val="24"/>
                <w:szCs w:val="24"/>
              </w:rPr>
            </m:ctrlPr>
          </m:sub>
        </m:sSub>
      </m:oMath>
      <w:r>
        <w:rPr>
          <w:rFonts w:hint="eastAsia" w:ascii="宋体" w:hAnsi="宋体" w:eastAsia="宋体"/>
          <w:sz w:val="24"/>
          <w:szCs w:val="24"/>
        </w:rPr>
        <w:t>，分别约束时序建模能力、异常行为特征偏离与类别区分能力。</w:t>
      </w:r>
    </w:p>
    <w:p w14:paraId="423E7CB5">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2.</w:t>
      </w:r>
      <w:r>
        <w:rPr>
          <w:rFonts w:hint="eastAsia" w:ascii="宋体" w:hAnsi="宋体" w:eastAsia="宋体"/>
          <w:b/>
          <w:bCs/>
          <w:sz w:val="24"/>
          <w:szCs w:val="24"/>
        </w:rPr>
        <w:t>异常评分机制</w:t>
      </w:r>
      <w:r>
        <w:rPr>
          <w:rFonts w:hint="eastAsia" w:ascii="宋体" w:hAnsi="宋体" w:eastAsia="宋体"/>
          <w:sz w:val="24"/>
          <w:szCs w:val="24"/>
        </w:rPr>
        <w:t>：当异常评分超过阈值τ时，</w:t>
      </w:r>
      <w:r>
        <w:rPr>
          <w:rFonts w:ascii="宋体" w:hAnsi="宋体" w:eastAsia="宋体"/>
          <w:sz w:val="24"/>
          <w:szCs w:val="24"/>
        </w:rPr>
        <w:t>自动触发 BFRBs 识别告警，并推送对应干预建议</w:t>
      </w:r>
      <w:r>
        <w:rPr>
          <w:rFonts w:hint="eastAsia" w:ascii="宋体" w:hAnsi="宋体" w:eastAsia="宋体"/>
          <w:sz w:val="24"/>
          <w:szCs w:val="24"/>
        </w:rPr>
        <w:t>。</w:t>
      </w:r>
    </w:p>
    <w:p w14:paraId="7242F8A1">
      <w:pPr>
        <w:pStyle w:val="4"/>
        <w:keepNext w:val="0"/>
        <w:keepLines w:val="0"/>
        <w:spacing w:before="0" w:after="0" w:line="480" w:lineRule="exact"/>
        <w:ind w:firstLine="482" w:firstLineChars="200"/>
        <w:rPr>
          <w:rFonts w:hint="eastAsia" w:ascii="宋体" w:hAnsi="宋体" w:eastAsia="宋体" w:cs="Times New Roman"/>
          <w:b/>
          <w:bCs/>
          <w:color w:val="auto"/>
          <w:kern w:val="0"/>
          <w:sz w:val="24"/>
          <w:szCs w:val="24"/>
        </w:rPr>
      </w:pPr>
      <w:bookmarkStart w:id="27" w:name="_Toc232355772"/>
      <w:r>
        <w:rPr>
          <w:rFonts w:hint="eastAsia" w:ascii="宋体" w:hAnsi="宋体" w:eastAsia="宋体" w:cs="Times New Roman"/>
          <w:b/>
          <w:bCs/>
          <w:color w:val="auto"/>
          <w:kern w:val="0"/>
          <w:sz w:val="24"/>
          <w:szCs w:val="24"/>
        </w:rPr>
        <w:t>3.2.4 数字心理疗愈引擎</w:t>
      </w:r>
      <w:bookmarkEnd w:id="27"/>
    </w:p>
    <w:p w14:paraId="0E492044">
      <w:pPr>
        <w:spacing w:line="480" w:lineRule="exact"/>
        <w:ind w:firstLine="480" w:firstLineChars="200"/>
        <w:rPr>
          <w:rFonts w:hint="eastAsia" w:ascii="宋体" w:hAnsi="宋体" w:eastAsia="宋体"/>
          <w:sz w:val="24"/>
          <w:szCs w:val="24"/>
        </w:rPr>
      </w:pPr>
      <w:r>
        <w:rPr>
          <w:rFonts w:ascii="宋体" w:hAnsi="宋体" w:eastAsia="宋体"/>
          <w:sz w:val="24"/>
          <w:szCs w:val="24"/>
        </w:rPr>
        <w:t>依托五大循证干预方式搭建疗愈引擎，技术实现与理论依据如下表所示</w:t>
      </w:r>
      <w:r>
        <w:rPr>
          <w:rFonts w:hint="eastAsia" w:ascii="宋体" w:hAnsi="宋体" w:eastAsia="宋体"/>
          <w:sz w:val="24"/>
          <w:szCs w:val="24"/>
        </w:rPr>
        <w:t>：</w:t>
      </w:r>
    </w:p>
    <w:p w14:paraId="26679A36">
      <w:pPr>
        <w:pStyle w:val="12"/>
        <w:keepNext/>
        <w:ind w:firstLine="480" w:firstLineChars="200"/>
        <w:rPr>
          <w:rFonts w:hint="eastAsia" w:ascii="宋体" w:hAnsi="宋体" w:eastAsia="宋体"/>
          <w:sz w:val="24"/>
          <w:szCs w:val="24"/>
        </w:rPr>
      </w:pPr>
      <w:r>
        <w:rPr>
          <w:rFonts w:hint="eastAsia" w:ascii="宋体" w:hAnsi="宋体" w:eastAsia="宋体"/>
          <w:sz w:val="24"/>
          <w:szCs w:val="24"/>
        </w:rPr>
        <w:t xml:space="preserve">表 </w:t>
      </w:r>
      <w:r>
        <w:rPr>
          <w:rFonts w:hint="eastAsia" w:ascii="宋体" w:hAnsi="宋体" w:eastAsia="宋体"/>
          <w:sz w:val="24"/>
          <w:szCs w:val="24"/>
        </w:rPr>
        <w:fldChar w:fldCharType="begin"/>
      </w:r>
      <w:r>
        <w:rPr>
          <w:rFonts w:hint="eastAsia" w:ascii="宋体" w:hAnsi="宋体" w:eastAsia="宋体"/>
          <w:sz w:val="24"/>
          <w:szCs w:val="24"/>
        </w:rPr>
        <w:instrText xml:space="preserve"> SEQ 表 \* ARABIC </w:instrText>
      </w:r>
      <w:r>
        <w:rPr>
          <w:rFonts w:hint="eastAsia" w:ascii="宋体" w:hAnsi="宋体" w:eastAsia="宋体"/>
          <w:sz w:val="24"/>
          <w:szCs w:val="24"/>
        </w:rPr>
        <w:fldChar w:fldCharType="separate"/>
      </w:r>
      <w:r>
        <w:rPr>
          <w:rFonts w:hint="eastAsia" w:ascii="宋体" w:hAnsi="宋体" w:eastAsia="宋体"/>
          <w:sz w:val="24"/>
          <w:szCs w:val="24"/>
        </w:rPr>
        <w:t>1</w:t>
      </w:r>
      <w:r>
        <w:rPr>
          <w:rFonts w:hint="eastAsia" w:ascii="宋体" w:hAnsi="宋体" w:eastAsia="宋体"/>
          <w:sz w:val="24"/>
          <w:szCs w:val="24"/>
        </w:rPr>
        <w:fldChar w:fldCharType="end"/>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2A7FF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F93C45C">
            <w:pPr>
              <w:ind w:firstLine="482" w:firstLineChars="200"/>
              <w:rPr>
                <w:rFonts w:hint="eastAsia" w:ascii="宋体" w:hAnsi="宋体" w:eastAsia="宋体" w:cs="Times New Roman"/>
                <w:b/>
                <w:bCs/>
                <w:sz w:val="24"/>
                <w:szCs w:val="24"/>
                <w14:ligatures w14:val="standardContextual"/>
              </w:rPr>
            </w:pPr>
            <w:r>
              <w:rPr>
                <w:rFonts w:ascii="宋体" w:hAnsi="宋体" w:eastAsia="宋体" w:cs="Times New Roman"/>
                <w:b/>
                <w:bCs/>
                <w:sz w:val="24"/>
                <w:szCs w:val="24"/>
                <w14:ligatures w14:val="standardContextual"/>
              </w:rPr>
              <w:t>干预方式</w:t>
            </w:r>
          </w:p>
        </w:tc>
        <w:tc>
          <w:tcPr>
            <w:tcW w:w="2765" w:type="dxa"/>
          </w:tcPr>
          <w:p w14:paraId="12E0E6D9">
            <w:pPr>
              <w:ind w:firstLine="482" w:firstLineChars="200"/>
              <w:rPr>
                <w:rFonts w:hint="eastAsia" w:ascii="宋体" w:hAnsi="宋体" w:eastAsia="宋体" w:cs="Times New Roman"/>
                <w:b/>
                <w:bCs/>
                <w:sz w:val="24"/>
                <w:szCs w:val="24"/>
                <w14:ligatures w14:val="standardContextual"/>
              </w:rPr>
            </w:pPr>
            <w:r>
              <w:rPr>
                <w:rFonts w:ascii="宋体" w:hAnsi="宋体" w:eastAsia="宋体" w:cs="Times New Roman"/>
                <w:b/>
                <w:bCs/>
                <w:sz w:val="24"/>
                <w:szCs w:val="24"/>
                <w14:ligatures w14:val="standardContextual"/>
              </w:rPr>
              <w:t>技术实现</w:t>
            </w:r>
          </w:p>
        </w:tc>
        <w:tc>
          <w:tcPr>
            <w:tcW w:w="2766" w:type="dxa"/>
          </w:tcPr>
          <w:p w14:paraId="5904DC30">
            <w:pPr>
              <w:ind w:firstLine="482" w:firstLineChars="200"/>
              <w:rPr>
                <w:rFonts w:hint="eastAsia" w:ascii="宋体" w:hAnsi="宋体" w:eastAsia="宋体" w:cs="Times New Roman"/>
                <w:b/>
                <w:bCs/>
                <w:sz w:val="24"/>
                <w:szCs w:val="24"/>
                <w14:ligatures w14:val="standardContextual"/>
              </w:rPr>
            </w:pPr>
            <w:r>
              <w:rPr>
                <w:rFonts w:ascii="宋体" w:hAnsi="宋体" w:eastAsia="宋体" w:cs="Times New Roman"/>
                <w:b/>
                <w:bCs/>
                <w:sz w:val="24"/>
                <w:szCs w:val="24"/>
                <w14:ligatures w14:val="standardContextual"/>
              </w:rPr>
              <w:t>理论依据</w:t>
            </w:r>
          </w:p>
        </w:tc>
      </w:tr>
      <w:tr w14:paraId="35BFE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93E5BFA">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CBT认知重构</w:t>
            </w:r>
          </w:p>
        </w:tc>
        <w:tc>
          <w:tcPr>
            <w:tcW w:w="2765" w:type="dxa"/>
          </w:tcPr>
          <w:p w14:paraId="385B4E5A">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LLM驱动的对话式认知行为引导</w:t>
            </w:r>
          </w:p>
        </w:tc>
        <w:tc>
          <w:tcPr>
            <w:tcW w:w="2766" w:type="dxa"/>
          </w:tcPr>
          <w:p w14:paraId="21D9A5F1">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Beck认知行为理论</w:t>
            </w:r>
          </w:p>
        </w:tc>
      </w:tr>
      <w:tr w14:paraId="398C4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D20C310">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正念冥想引导</w:t>
            </w:r>
          </w:p>
        </w:tc>
        <w:tc>
          <w:tcPr>
            <w:tcW w:w="2765" w:type="dxa"/>
          </w:tcPr>
          <w:p w14:paraId="0CE81070">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语音引导+呼吸检测+HRV生物反馈</w:t>
            </w:r>
          </w:p>
        </w:tc>
        <w:tc>
          <w:tcPr>
            <w:tcW w:w="2766" w:type="dxa"/>
          </w:tcPr>
          <w:p w14:paraId="3DCB4113">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MBSR正念减压</w:t>
            </w:r>
          </w:p>
        </w:tc>
      </w:tr>
      <w:tr w14:paraId="71EDA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64F2408">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习惯逆转训练(HRT)</w:t>
            </w:r>
          </w:p>
        </w:tc>
        <w:tc>
          <w:tcPr>
            <w:tcW w:w="2765" w:type="dxa"/>
          </w:tcPr>
          <w:p w14:paraId="35262A69">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振动/声音实时提醒+替代行为推荐</w:t>
            </w:r>
          </w:p>
        </w:tc>
        <w:tc>
          <w:tcPr>
            <w:tcW w:w="2766" w:type="dxa"/>
          </w:tcPr>
          <w:p w14:paraId="1435E061">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Azrin HRT经典范式</w:t>
            </w:r>
          </w:p>
        </w:tc>
      </w:tr>
      <w:tr w14:paraId="021DA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462817D">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情绪日记</w:t>
            </w:r>
          </w:p>
        </w:tc>
        <w:tc>
          <w:tcPr>
            <w:tcW w:w="2765" w:type="dxa"/>
          </w:tcPr>
          <w:p w14:paraId="120E6A4F">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NLP情感分析+趋势可视化</w:t>
            </w:r>
          </w:p>
        </w:tc>
        <w:tc>
          <w:tcPr>
            <w:tcW w:w="2766" w:type="dxa"/>
          </w:tcPr>
          <w:p w14:paraId="4E1120A1">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表达性写作理论</w:t>
            </w:r>
          </w:p>
        </w:tc>
      </w:tr>
      <w:tr w14:paraId="142B1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6DE415B">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社区互助</w:t>
            </w:r>
          </w:p>
        </w:tc>
        <w:tc>
          <w:tcPr>
            <w:tcW w:w="2765" w:type="dxa"/>
          </w:tcPr>
          <w:p w14:paraId="577E27D6">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匿名社群+同伴支持+专业督导</w:t>
            </w:r>
          </w:p>
        </w:tc>
        <w:tc>
          <w:tcPr>
            <w:tcW w:w="2766" w:type="dxa"/>
          </w:tcPr>
          <w:p w14:paraId="1DCB1D2D">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社会支持理论</w:t>
            </w:r>
          </w:p>
        </w:tc>
      </w:tr>
    </w:tbl>
    <w:p w14:paraId="5454AF3D">
      <w:pPr>
        <w:pStyle w:val="4"/>
        <w:keepNext w:val="0"/>
        <w:keepLines w:val="0"/>
        <w:spacing w:before="0" w:after="0" w:line="480" w:lineRule="exact"/>
        <w:ind w:firstLine="482" w:firstLineChars="200"/>
        <w:rPr>
          <w:rFonts w:hint="eastAsia" w:ascii="宋体" w:hAnsi="宋体" w:eastAsia="宋体" w:cs="Times New Roman"/>
          <w:b/>
          <w:bCs/>
          <w:color w:val="auto"/>
          <w:kern w:val="0"/>
          <w:sz w:val="24"/>
          <w:szCs w:val="24"/>
        </w:rPr>
      </w:pPr>
      <w:bookmarkStart w:id="28" w:name="_Toc232355773"/>
      <w:r>
        <w:rPr>
          <w:rFonts w:hint="eastAsia" w:ascii="宋体" w:hAnsi="宋体" w:eastAsia="宋体" w:cs="Times New Roman"/>
          <w:b/>
          <w:bCs/>
          <w:color w:val="auto"/>
          <w:kern w:val="0"/>
          <w:sz w:val="24"/>
          <w:szCs w:val="24"/>
        </w:rPr>
        <w:t>3.2.5 后端架构与接口规范</w:t>
      </w:r>
      <w:bookmarkEnd w:id="28"/>
    </w:p>
    <w:p w14:paraId="4FD3A65A">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采用FastAPI+Python3.11构建高性能后端，核心包含三个接口：</w:t>
      </w:r>
    </w:p>
    <w:p w14:paraId="05A1B9D1">
      <w:pPr>
        <w:spacing w:line="480" w:lineRule="exact"/>
        <w:ind w:left="480" w:firstLine="480" w:firstLineChars="200"/>
        <w:rPr>
          <w:rFonts w:hint="eastAsia" w:ascii="宋体" w:hAnsi="宋体" w:eastAsia="宋体"/>
          <w:sz w:val="24"/>
          <w:szCs w:val="24"/>
        </w:rPr>
      </w:pPr>
      <w:r>
        <w:rPr>
          <w:rFonts w:hint="eastAsia" w:ascii="宋体" w:hAnsi="宋体" w:eastAsia="宋体"/>
          <w:sz w:val="24"/>
          <w:szCs w:val="24"/>
        </w:rPr>
        <w:t>/api/v1/detect（接收检测数据并返回结果）、</w:t>
      </w:r>
    </w:p>
    <w:p w14:paraId="286248B7">
      <w:pPr>
        <w:spacing w:line="480" w:lineRule="exact"/>
        <w:ind w:left="480" w:firstLine="480" w:firstLineChars="200"/>
        <w:rPr>
          <w:rFonts w:hint="eastAsia" w:ascii="宋体" w:hAnsi="宋体" w:eastAsia="宋体"/>
          <w:sz w:val="24"/>
          <w:szCs w:val="24"/>
        </w:rPr>
      </w:pPr>
      <w:r>
        <w:rPr>
          <w:rFonts w:hint="eastAsia" w:ascii="宋体" w:hAnsi="宋体" w:eastAsia="宋体"/>
          <w:sz w:val="24"/>
          <w:szCs w:val="24"/>
        </w:rPr>
        <w:t>/api/v1/therapy/recommend（个性化干预方案推荐）、</w:t>
      </w:r>
    </w:p>
    <w:p w14:paraId="5D8C5A63">
      <w:pPr>
        <w:spacing w:line="480" w:lineRule="exact"/>
        <w:ind w:left="480" w:firstLine="480" w:firstLineChars="200"/>
        <w:rPr>
          <w:rFonts w:hint="eastAsia" w:ascii="宋体" w:hAnsi="宋体" w:eastAsia="宋体"/>
          <w:sz w:val="24"/>
          <w:szCs w:val="24"/>
        </w:rPr>
      </w:pPr>
      <w:r>
        <w:rPr>
          <w:rFonts w:hint="eastAsia" w:ascii="宋体" w:hAnsi="宋体" w:eastAsia="宋体"/>
          <w:sz w:val="24"/>
          <w:szCs w:val="24"/>
        </w:rPr>
        <w:t>/ws/realtime（WebSocket实时推送）。</w:t>
      </w:r>
    </w:p>
    <w:p w14:paraId="6C7473DC">
      <w:pPr>
        <w:spacing w:line="480" w:lineRule="exact"/>
        <w:ind w:firstLine="482" w:firstLineChars="200"/>
        <w:rPr>
          <w:rFonts w:hint="eastAsia" w:ascii="宋体" w:hAnsi="宋体" w:eastAsia="宋体"/>
          <w:sz w:val="24"/>
          <w:szCs w:val="24"/>
        </w:rPr>
      </w:pPr>
      <w:r>
        <w:rPr>
          <w:rFonts w:hint="eastAsia" w:ascii="宋体" w:hAnsi="宋体" w:eastAsia="宋体"/>
          <w:b/>
          <w:bCs/>
          <w:sz w:val="24"/>
          <w:szCs w:val="24"/>
        </w:rPr>
        <w:t>部署方案</w:t>
      </w:r>
      <w:r>
        <w:rPr>
          <w:rFonts w:hint="eastAsia" w:ascii="宋体" w:hAnsi="宋体" w:eastAsia="宋体"/>
          <w:sz w:val="24"/>
          <w:szCs w:val="24"/>
        </w:rPr>
        <w:t>：</w:t>
      </w:r>
      <w:r>
        <w:rPr>
          <w:rFonts w:ascii="宋体" w:hAnsi="宋体" w:eastAsia="宋体"/>
          <w:sz w:val="24"/>
          <w:szCs w:val="24"/>
        </w:rPr>
        <w:t>开发环境本地直接加载.pt模型文件调用；生产环境采用TensorRT加速、ONNXRuntime实现GPU推理，支持多版本模型并行服务与A/B测试</w:t>
      </w:r>
      <w:r>
        <w:rPr>
          <w:rFonts w:hint="eastAsia" w:ascii="宋体" w:hAnsi="宋体" w:eastAsia="宋体"/>
          <w:sz w:val="24"/>
          <w:szCs w:val="24"/>
        </w:rPr>
        <w:t>。</w:t>
      </w:r>
    </w:p>
    <w:p w14:paraId="4A8DAE57">
      <w:pPr>
        <w:pStyle w:val="3"/>
        <w:keepNext w:val="0"/>
        <w:keepLines w:val="0"/>
        <w:spacing w:before="0" w:after="0" w:line="480" w:lineRule="exact"/>
        <w:ind w:firstLine="480" w:firstLineChars="200"/>
        <w:rPr>
          <w:rFonts w:hint="eastAsia" w:ascii="宋体" w:hAnsi="宋体" w:eastAsia="宋体" w:cs="Times New Roman"/>
          <w:bCs/>
          <w:color w:val="auto"/>
          <w:kern w:val="0"/>
          <w:sz w:val="24"/>
          <w:szCs w:val="24"/>
        </w:rPr>
      </w:pPr>
      <w:bookmarkStart w:id="29" w:name="_Toc232355774"/>
      <w:r>
        <w:rPr>
          <w:rFonts w:hint="eastAsia" w:ascii="宋体" w:hAnsi="宋体" w:eastAsia="宋体" w:cs="Times New Roman"/>
          <w:bCs/>
          <w:color w:val="auto"/>
          <w:kern w:val="0"/>
          <w:sz w:val="24"/>
          <w:szCs w:val="24"/>
        </w:rPr>
        <w:t>3.3 MVP开发计划</w:t>
      </w:r>
      <w:bookmarkEnd w:id="29"/>
    </w:p>
    <w:p w14:paraId="38661D57">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项目采用分阶段敏捷开发策略，2026下半年月度执行计划：</w:t>
      </w:r>
    </w:p>
    <w:p w14:paraId="4080755C">
      <w:pPr>
        <w:pStyle w:val="12"/>
        <w:keepNext/>
        <w:ind w:firstLine="480" w:firstLineChars="200"/>
        <w:rPr>
          <w:rFonts w:hint="eastAsia" w:ascii="宋体" w:hAnsi="宋体" w:eastAsia="宋体"/>
          <w:sz w:val="24"/>
          <w:szCs w:val="24"/>
        </w:rPr>
      </w:pPr>
      <w:r>
        <w:rPr>
          <w:rFonts w:hint="eastAsia" w:ascii="宋体" w:hAnsi="宋体" w:eastAsia="宋体"/>
          <w:sz w:val="24"/>
          <w:szCs w:val="24"/>
        </w:rPr>
        <w:t xml:space="preserve">表 </w:t>
      </w:r>
      <w:r>
        <w:rPr>
          <w:rFonts w:hint="eastAsia" w:ascii="宋体" w:hAnsi="宋体" w:eastAsia="宋体"/>
          <w:sz w:val="24"/>
          <w:szCs w:val="24"/>
        </w:rPr>
        <w:fldChar w:fldCharType="begin"/>
      </w:r>
      <w:r>
        <w:rPr>
          <w:rFonts w:hint="eastAsia" w:ascii="宋体" w:hAnsi="宋体" w:eastAsia="宋体"/>
          <w:sz w:val="24"/>
          <w:szCs w:val="24"/>
        </w:rPr>
        <w:instrText xml:space="preserve"> SEQ 表 \* ARABIC </w:instrText>
      </w:r>
      <w:r>
        <w:rPr>
          <w:rFonts w:hint="eastAsia" w:ascii="宋体" w:hAnsi="宋体" w:eastAsia="宋体"/>
          <w:sz w:val="24"/>
          <w:szCs w:val="24"/>
        </w:rPr>
        <w:fldChar w:fldCharType="separate"/>
      </w:r>
      <w:r>
        <w:rPr>
          <w:rFonts w:hint="eastAsia" w:ascii="宋体" w:hAnsi="宋体" w:eastAsia="宋体"/>
          <w:sz w:val="24"/>
          <w:szCs w:val="24"/>
        </w:rPr>
        <w:t>2</w:t>
      </w:r>
      <w:r>
        <w:rPr>
          <w:rFonts w:hint="eastAsia" w:ascii="宋体" w:hAnsi="宋体" w:eastAsia="宋体"/>
          <w:sz w:val="24"/>
          <w:szCs w:val="24"/>
        </w:rPr>
        <w:fldChar w:fldCharType="end"/>
      </w:r>
    </w:p>
    <w:tbl>
      <w:tblPr>
        <w:tblStyle w:val="48"/>
        <w:tblW w:w="8409"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6"/>
        <w:gridCol w:w="2556"/>
        <w:gridCol w:w="4857"/>
      </w:tblGrid>
      <w:tr w14:paraId="00D2D2A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96" w:type="dxa"/>
            <w:tcBorders>
              <w:bottom w:val="single" w:color="7E7E7E" w:themeColor="text1" w:themeTint="80" w:sz="4" w:space="0"/>
              <w:insideH w:val="single" w:sz="4" w:space="0"/>
            </w:tcBorders>
          </w:tcPr>
          <w:p w14:paraId="1B2333B3">
            <w:pPr>
              <w:spacing w:line="480" w:lineRule="exact"/>
              <w:ind w:firstLine="482" w:firstLineChars="200"/>
              <w:rPr>
                <w:rFonts w:hint="eastAsia" w:ascii="宋体" w:hAnsi="宋体" w:eastAsia="宋体"/>
                <w:b w:val="0"/>
                <w:bCs w:val="0"/>
                <w:sz w:val="24"/>
                <w:szCs w:val="24"/>
                <w14:ligatures w14:val="none"/>
              </w:rPr>
            </w:pPr>
            <w:r>
              <w:rPr>
                <w:rFonts w:hint="eastAsia" w:ascii="宋体" w:hAnsi="宋体" w:eastAsia="宋体"/>
                <w:b/>
                <w:bCs/>
                <w:sz w:val="24"/>
                <w:szCs w:val="24"/>
                <w14:ligatures w14:val="none"/>
              </w:rPr>
              <w:t>月份</w:t>
            </w:r>
          </w:p>
        </w:tc>
        <w:tc>
          <w:tcPr>
            <w:tcW w:w="2556" w:type="dxa"/>
            <w:tcBorders>
              <w:bottom w:val="single" w:color="7E7E7E" w:themeColor="text1" w:themeTint="80" w:sz="4" w:space="0"/>
              <w:insideH w:val="single" w:sz="4" w:space="0"/>
            </w:tcBorders>
          </w:tcPr>
          <w:p w14:paraId="3083155F">
            <w:pPr>
              <w:spacing w:line="480" w:lineRule="exact"/>
              <w:ind w:firstLine="482" w:firstLineChars="200"/>
              <w:rPr>
                <w:rFonts w:hint="eastAsia" w:ascii="宋体" w:hAnsi="宋体" w:eastAsia="宋体"/>
                <w:b w:val="0"/>
                <w:bCs w:val="0"/>
                <w:sz w:val="24"/>
                <w:szCs w:val="24"/>
                <w14:ligatures w14:val="none"/>
              </w:rPr>
            </w:pPr>
            <w:r>
              <w:rPr>
                <w:rFonts w:hint="eastAsia" w:ascii="宋体" w:hAnsi="宋体" w:eastAsia="宋体"/>
                <w:b/>
                <w:bCs/>
                <w:sz w:val="24"/>
                <w:szCs w:val="24"/>
                <w14:ligatures w14:val="none"/>
              </w:rPr>
              <w:t>核心里程碑</w:t>
            </w:r>
          </w:p>
        </w:tc>
        <w:tc>
          <w:tcPr>
            <w:tcW w:w="4857" w:type="dxa"/>
            <w:tcBorders>
              <w:bottom w:val="single" w:color="7E7E7E" w:themeColor="text1" w:themeTint="80" w:sz="4" w:space="0"/>
              <w:insideH w:val="single" w:sz="4" w:space="0"/>
            </w:tcBorders>
          </w:tcPr>
          <w:p w14:paraId="2FD7B1F5">
            <w:pPr>
              <w:spacing w:line="480" w:lineRule="exact"/>
              <w:ind w:firstLine="482" w:firstLineChars="200"/>
              <w:rPr>
                <w:rFonts w:hint="eastAsia" w:ascii="宋体" w:hAnsi="宋体" w:eastAsia="宋体"/>
                <w:b w:val="0"/>
                <w:bCs w:val="0"/>
                <w:sz w:val="24"/>
                <w:szCs w:val="24"/>
                <w14:ligatures w14:val="none"/>
              </w:rPr>
            </w:pPr>
            <w:r>
              <w:rPr>
                <w:rFonts w:hint="eastAsia" w:ascii="宋体" w:hAnsi="宋体" w:eastAsia="宋体"/>
                <w:b/>
                <w:bCs/>
                <w:sz w:val="24"/>
                <w:szCs w:val="24"/>
                <w14:ligatures w14:val="none"/>
              </w:rPr>
              <w:t>关键交付物</w:t>
            </w:r>
          </w:p>
        </w:tc>
      </w:tr>
      <w:tr w14:paraId="30D9364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96" w:type="dxa"/>
            <w:tcBorders>
              <w:top w:val="single" w:color="7E7E7E" w:themeColor="text1" w:themeTint="80" w:sz="4" w:space="0"/>
              <w:bottom w:val="single" w:color="7E7E7E" w:themeColor="text1" w:themeTint="80" w:sz="4" w:space="0"/>
            </w:tcBorders>
          </w:tcPr>
          <w:p w14:paraId="32E92C69">
            <w:pPr>
              <w:spacing w:line="480" w:lineRule="exact"/>
              <w:ind w:firstLine="482" w:firstLineChars="200"/>
              <w:rPr>
                <w:rFonts w:hint="eastAsia" w:ascii="宋体" w:hAnsi="宋体" w:eastAsia="宋体"/>
                <w:b w:val="0"/>
                <w:bCs w:val="0"/>
                <w:sz w:val="24"/>
                <w:szCs w:val="24"/>
                <w14:ligatures w14:val="none"/>
              </w:rPr>
            </w:pPr>
            <w:r>
              <w:rPr>
                <w:rFonts w:hint="eastAsia" w:ascii="宋体" w:hAnsi="宋体" w:eastAsia="宋体"/>
                <w:b/>
                <w:bCs/>
                <w:sz w:val="24"/>
                <w:szCs w:val="24"/>
                <w14:ligatures w14:val="none"/>
              </w:rPr>
              <w:t>6月</w:t>
            </w:r>
          </w:p>
        </w:tc>
        <w:tc>
          <w:tcPr>
            <w:tcW w:w="2556" w:type="dxa"/>
            <w:tcBorders>
              <w:top w:val="single" w:color="7E7E7E" w:themeColor="text1" w:themeTint="80" w:sz="4" w:space="0"/>
              <w:bottom w:val="single" w:color="7E7E7E" w:themeColor="text1" w:themeTint="80" w:sz="4" w:space="0"/>
            </w:tcBorders>
          </w:tcPr>
          <w:p w14:paraId="365991C3">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项目启动与技术选型</w:t>
            </w:r>
          </w:p>
        </w:tc>
        <w:tc>
          <w:tcPr>
            <w:tcW w:w="4857" w:type="dxa"/>
            <w:tcBorders>
              <w:top w:val="single" w:color="7E7E7E" w:themeColor="text1" w:themeTint="80" w:sz="4" w:space="0"/>
              <w:bottom w:val="single" w:color="7E7E7E" w:themeColor="text1" w:themeTint="80" w:sz="4" w:space="0"/>
            </w:tcBorders>
          </w:tcPr>
          <w:p w14:paraId="2539AE1C">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技术方案文档</w:t>
            </w:r>
          </w:p>
        </w:tc>
      </w:tr>
      <w:tr w14:paraId="647E533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96" w:type="dxa"/>
          </w:tcPr>
          <w:p w14:paraId="1802F312">
            <w:pPr>
              <w:spacing w:line="480" w:lineRule="exact"/>
              <w:ind w:firstLine="482" w:firstLineChars="200"/>
              <w:rPr>
                <w:rFonts w:hint="eastAsia" w:ascii="宋体" w:hAnsi="宋体" w:eastAsia="宋体"/>
                <w:b w:val="0"/>
                <w:bCs w:val="0"/>
                <w:sz w:val="24"/>
                <w:szCs w:val="24"/>
                <w14:ligatures w14:val="none"/>
              </w:rPr>
            </w:pPr>
            <w:r>
              <w:rPr>
                <w:rFonts w:hint="eastAsia" w:ascii="宋体" w:hAnsi="宋体" w:eastAsia="宋体"/>
                <w:b/>
                <w:bCs/>
                <w:sz w:val="24"/>
                <w:szCs w:val="24"/>
                <w14:ligatures w14:val="none"/>
              </w:rPr>
              <w:t>7月</w:t>
            </w:r>
          </w:p>
        </w:tc>
        <w:tc>
          <w:tcPr>
            <w:tcW w:w="2556" w:type="dxa"/>
          </w:tcPr>
          <w:p w14:paraId="4433A765">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基础搭建</w:t>
            </w:r>
          </w:p>
        </w:tc>
        <w:tc>
          <w:tcPr>
            <w:tcW w:w="4857" w:type="dxa"/>
          </w:tcPr>
          <w:p w14:paraId="0CA9ADD4">
            <w:pPr>
              <w:spacing w:line="480" w:lineRule="exact"/>
              <w:ind w:firstLine="480" w:firstLineChars="200"/>
              <w:rPr>
                <w:rFonts w:hint="eastAsia" w:ascii="宋体" w:hAnsi="宋体" w:eastAsia="宋体"/>
                <w:sz w:val="24"/>
                <w:szCs w:val="24"/>
                <w14:ligatures w14:val="none"/>
              </w:rPr>
            </w:pPr>
            <w:r>
              <w:rPr>
                <w:rFonts w:ascii="宋体" w:hAnsi="宋体" w:eastAsia="宋体"/>
                <w:sz w:val="24"/>
                <w:szCs w:val="24"/>
                <w14:ligatures w14:val="none"/>
              </w:rPr>
              <w:t>API V1.0 +模型推理接口</w:t>
            </w:r>
          </w:p>
        </w:tc>
      </w:tr>
      <w:tr w14:paraId="5571E20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96" w:type="dxa"/>
            <w:tcBorders>
              <w:top w:val="single" w:color="7E7E7E" w:themeColor="text1" w:themeTint="80" w:sz="4" w:space="0"/>
              <w:bottom w:val="single" w:color="7E7E7E" w:themeColor="text1" w:themeTint="80" w:sz="4" w:space="0"/>
            </w:tcBorders>
          </w:tcPr>
          <w:p w14:paraId="5D4B3D78">
            <w:pPr>
              <w:spacing w:line="480" w:lineRule="exact"/>
              <w:ind w:firstLine="482" w:firstLineChars="200"/>
              <w:rPr>
                <w:rFonts w:hint="eastAsia" w:ascii="宋体" w:hAnsi="宋体" w:eastAsia="宋体"/>
                <w:b w:val="0"/>
                <w:bCs w:val="0"/>
                <w:sz w:val="24"/>
                <w:szCs w:val="24"/>
                <w14:ligatures w14:val="none"/>
              </w:rPr>
            </w:pPr>
            <w:r>
              <w:rPr>
                <w:rFonts w:hint="eastAsia" w:ascii="宋体" w:hAnsi="宋体" w:eastAsia="宋体"/>
                <w:b/>
                <w:bCs/>
                <w:sz w:val="24"/>
                <w:szCs w:val="24"/>
                <w14:ligatures w14:val="none"/>
              </w:rPr>
              <w:t>8月</w:t>
            </w:r>
          </w:p>
        </w:tc>
        <w:tc>
          <w:tcPr>
            <w:tcW w:w="2556" w:type="dxa"/>
            <w:tcBorders>
              <w:top w:val="single" w:color="7E7E7E" w:themeColor="text1" w:themeTint="80" w:sz="4" w:space="0"/>
              <w:bottom w:val="single" w:color="7E7E7E" w:themeColor="text1" w:themeTint="80" w:sz="4" w:space="0"/>
            </w:tcBorders>
          </w:tcPr>
          <w:p w14:paraId="2A82124A">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核心开发</w:t>
            </w:r>
          </w:p>
        </w:tc>
        <w:tc>
          <w:tcPr>
            <w:tcW w:w="4857" w:type="dxa"/>
            <w:tcBorders>
              <w:top w:val="single" w:color="7E7E7E" w:themeColor="text1" w:themeTint="80" w:sz="4" w:space="0"/>
              <w:bottom w:val="single" w:color="7E7E7E" w:themeColor="text1" w:themeTint="80" w:sz="4" w:space="0"/>
            </w:tcBorders>
          </w:tcPr>
          <w:p w14:paraId="5B0477B9">
            <w:pPr>
              <w:spacing w:line="480" w:lineRule="exact"/>
              <w:ind w:firstLine="480" w:firstLineChars="200"/>
              <w:rPr>
                <w:rFonts w:hint="eastAsia" w:ascii="宋体" w:hAnsi="宋体" w:eastAsia="宋体"/>
                <w:sz w:val="24"/>
                <w:szCs w:val="24"/>
                <w14:ligatures w14:val="none"/>
              </w:rPr>
            </w:pPr>
            <w:r>
              <w:rPr>
                <w:rFonts w:ascii="宋体" w:hAnsi="宋体" w:eastAsia="宋体"/>
                <w:sz w:val="24"/>
                <w:szCs w:val="24"/>
                <w14:ligatures w14:val="none"/>
              </w:rPr>
              <w:t>可演示Demo</w:t>
            </w:r>
          </w:p>
        </w:tc>
      </w:tr>
      <w:tr w14:paraId="7D64FA1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96" w:type="dxa"/>
          </w:tcPr>
          <w:p w14:paraId="0CF9F181">
            <w:pPr>
              <w:spacing w:line="480" w:lineRule="exact"/>
              <w:ind w:firstLine="482" w:firstLineChars="200"/>
              <w:rPr>
                <w:rFonts w:hint="eastAsia" w:ascii="宋体" w:hAnsi="宋体" w:eastAsia="宋体"/>
                <w:b w:val="0"/>
                <w:bCs w:val="0"/>
                <w:sz w:val="24"/>
                <w:szCs w:val="24"/>
                <w14:ligatures w14:val="none"/>
              </w:rPr>
            </w:pPr>
            <w:r>
              <w:rPr>
                <w:rFonts w:hint="eastAsia" w:ascii="宋体" w:hAnsi="宋体" w:eastAsia="宋体"/>
                <w:b/>
                <w:bCs/>
                <w:sz w:val="24"/>
                <w:szCs w:val="24"/>
                <w14:ligatures w14:val="none"/>
              </w:rPr>
              <w:t>9月</w:t>
            </w:r>
          </w:p>
        </w:tc>
        <w:tc>
          <w:tcPr>
            <w:tcW w:w="2556" w:type="dxa"/>
          </w:tcPr>
          <w:p w14:paraId="6BB2A11A">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算法优化</w:t>
            </w:r>
          </w:p>
        </w:tc>
        <w:tc>
          <w:tcPr>
            <w:tcW w:w="4857" w:type="dxa"/>
          </w:tcPr>
          <w:p w14:paraId="3EDB47F9">
            <w:pPr>
              <w:spacing w:line="480" w:lineRule="exact"/>
              <w:ind w:firstLine="480" w:firstLineChars="200"/>
              <w:rPr>
                <w:rFonts w:hint="eastAsia" w:ascii="宋体" w:hAnsi="宋体" w:eastAsia="宋体"/>
                <w:sz w:val="24"/>
                <w:szCs w:val="24"/>
                <w14:ligatures w14:val="none"/>
              </w:rPr>
            </w:pPr>
            <w:r>
              <w:rPr>
                <w:rFonts w:ascii="宋体" w:hAnsi="宋体" w:eastAsia="宋体"/>
                <w:sz w:val="24"/>
                <w:szCs w:val="24"/>
                <w14:ligatures w14:val="none"/>
              </w:rPr>
              <w:t>模型精度报告</w:t>
            </w:r>
          </w:p>
        </w:tc>
      </w:tr>
      <w:tr w14:paraId="12B4D12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96" w:type="dxa"/>
            <w:tcBorders>
              <w:top w:val="single" w:color="7E7E7E" w:themeColor="text1" w:themeTint="80" w:sz="4" w:space="0"/>
              <w:bottom w:val="single" w:color="7E7E7E" w:themeColor="text1" w:themeTint="80" w:sz="4" w:space="0"/>
            </w:tcBorders>
          </w:tcPr>
          <w:p w14:paraId="25DB2E02">
            <w:pPr>
              <w:spacing w:line="480" w:lineRule="exact"/>
              <w:ind w:firstLine="482" w:firstLineChars="200"/>
              <w:rPr>
                <w:rFonts w:hint="eastAsia" w:ascii="宋体" w:hAnsi="宋体" w:eastAsia="宋体"/>
                <w:b w:val="0"/>
                <w:bCs w:val="0"/>
                <w:sz w:val="24"/>
                <w:szCs w:val="24"/>
                <w14:ligatures w14:val="none"/>
              </w:rPr>
            </w:pPr>
            <w:r>
              <w:rPr>
                <w:rFonts w:hint="eastAsia" w:ascii="宋体" w:hAnsi="宋体" w:eastAsia="宋体"/>
                <w:b/>
                <w:bCs/>
                <w:sz w:val="24"/>
                <w:szCs w:val="24"/>
                <w14:ligatures w14:val="none"/>
              </w:rPr>
              <w:t>10月</w:t>
            </w:r>
          </w:p>
        </w:tc>
        <w:tc>
          <w:tcPr>
            <w:tcW w:w="2556" w:type="dxa"/>
            <w:tcBorders>
              <w:top w:val="single" w:color="7E7E7E" w:themeColor="text1" w:themeTint="80" w:sz="4" w:space="0"/>
              <w:bottom w:val="single" w:color="7E7E7E" w:themeColor="text1" w:themeTint="80" w:sz="4" w:space="0"/>
            </w:tcBorders>
          </w:tcPr>
          <w:p w14:paraId="6480BAB2">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集成测试</w:t>
            </w:r>
          </w:p>
        </w:tc>
        <w:tc>
          <w:tcPr>
            <w:tcW w:w="4857" w:type="dxa"/>
            <w:tcBorders>
              <w:top w:val="single" w:color="7E7E7E" w:themeColor="text1" w:themeTint="80" w:sz="4" w:space="0"/>
              <w:bottom w:val="single" w:color="7E7E7E" w:themeColor="text1" w:themeTint="80" w:sz="4" w:space="0"/>
            </w:tcBorders>
          </w:tcPr>
          <w:p w14:paraId="398732CE">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软硬件联调+内测版本</w:t>
            </w:r>
          </w:p>
        </w:tc>
      </w:tr>
      <w:tr w14:paraId="02501C9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96" w:type="dxa"/>
          </w:tcPr>
          <w:p w14:paraId="3DC836C8">
            <w:pPr>
              <w:spacing w:line="480" w:lineRule="exact"/>
              <w:ind w:firstLine="482" w:firstLineChars="200"/>
              <w:rPr>
                <w:rFonts w:hint="eastAsia" w:ascii="宋体" w:hAnsi="宋体" w:eastAsia="宋体"/>
                <w:b w:val="0"/>
                <w:bCs w:val="0"/>
                <w:sz w:val="24"/>
                <w:szCs w:val="24"/>
                <w14:ligatures w14:val="none"/>
              </w:rPr>
            </w:pPr>
            <w:r>
              <w:rPr>
                <w:rFonts w:hint="eastAsia" w:ascii="宋体" w:hAnsi="宋体" w:eastAsia="宋体"/>
                <w:b/>
                <w:bCs/>
                <w:sz w:val="24"/>
                <w:szCs w:val="24"/>
                <w14:ligatures w14:val="none"/>
              </w:rPr>
              <w:t>11月</w:t>
            </w:r>
          </w:p>
        </w:tc>
        <w:tc>
          <w:tcPr>
            <w:tcW w:w="2556" w:type="dxa"/>
          </w:tcPr>
          <w:p w14:paraId="44EA754A">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品牌与周边设计</w:t>
            </w:r>
          </w:p>
        </w:tc>
        <w:tc>
          <w:tcPr>
            <w:tcW w:w="4857" w:type="dxa"/>
          </w:tcPr>
          <w:p w14:paraId="71A28187">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Logo定稿+首批周边打样</w:t>
            </w:r>
          </w:p>
        </w:tc>
      </w:tr>
      <w:tr w14:paraId="5409070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96" w:type="dxa"/>
            <w:tcBorders>
              <w:top w:val="single" w:color="7E7E7E" w:themeColor="text1" w:themeTint="80" w:sz="4" w:space="0"/>
              <w:bottom w:val="single" w:color="7E7E7E" w:themeColor="text1" w:themeTint="80" w:sz="4" w:space="0"/>
            </w:tcBorders>
          </w:tcPr>
          <w:p w14:paraId="5665B322">
            <w:pPr>
              <w:spacing w:line="480" w:lineRule="exact"/>
              <w:ind w:firstLine="482" w:firstLineChars="200"/>
              <w:rPr>
                <w:rFonts w:hint="eastAsia" w:ascii="宋体" w:hAnsi="宋体" w:eastAsia="宋体"/>
                <w:b w:val="0"/>
                <w:bCs w:val="0"/>
                <w:sz w:val="24"/>
                <w:szCs w:val="24"/>
                <w14:ligatures w14:val="none"/>
              </w:rPr>
            </w:pPr>
            <w:r>
              <w:rPr>
                <w:rFonts w:hint="eastAsia" w:ascii="宋体" w:hAnsi="宋体" w:eastAsia="宋体"/>
                <w:b/>
                <w:bCs/>
                <w:sz w:val="24"/>
                <w:szCs w:val="24"/>
                <w14:ligatures w14:val="none"/>
              </w:rPr>
              <w:t>12月</w:t>
            </w:r>
          </w:p>
        </w:tc>
        <w:tc>
          <w:tcPr>
            <w:tcW w:w="2556" w:type="dxa"/>
            <w:tcBorders>
              <w:top w:val="single" w:color="7E7E7E" w:themeColor="text1" w:themeTint="80" w:sz="4" w:space="0"/>
              <w:bottom w:val="single" w:color="7E7E7E" w:themeColor="text1" w:themeTint="80" w:sz="4" w:space="0"/>
            </w:tcBorders>
          </w:tcPr>
          <w:p w14:paraId="1695F6DF">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种子发布</w:t>
            </w:r>
          </w:p>
        </w:tc>
        <w:tc>
          <w:tcPr>
            <w:tcW w:w="4857" w:type="dxa"/>
            <w:tcBorders>
              <w:top w:val="single" w:color="7E7E7E" w:themeColor="text1" w:themeTint="80" w:sz="4" w:space="0"/>
              <w:bottom w:val="single" w:color="7E7E7E" w:themeColor="text1" w:themeTint="80" w:sz="4" w:space="0"/>
            </w:tcBorders>
          </w:tcPr>
          <w:p w14:paraId="122C997D">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内测报告+PPT</w:t>
            </w:r>
          </w:p>
        </w:tc>
      </w:tr>
    </w:tbl>
    <w:p w14:paraId="795FA7B4">
      <w:pPr>
        <w:pStyle w:val="3"/>
        <w:keepNext w:val="0"/>
        <w:keepLines w:val="0"/>
        <w:spacing w:before="0" w:after="0" w:line="480" w:lineRule="exact"/>
        <w:ind w:firstLine="480" w:firstLineChars="200"/>
        <w:rPr>
          <w:rFonts w:hint="eastAsia" w:ascii="宋体" w:hAnsi="宋体" w:eastAsia="宋体" w:cs="Times New Roman"/>
          <w:bCs/>
          <w:color w:val="auto"/>
          <w:kern w:val="0"/>
          <w:sz w:val="24"/>
          <w:szCs w:val="24"/>
        </w:rPr>
      </w:pPr>
      <w:bookmarkStart w:id="30" w:name="_Toc232355775"/>
      <w:r>
        <w:rPr>
          <w:rFonts w:hint="eastAsia" w:ascii="宋体" w:hAnsi="宋体" w:eastAsia="宋体" w:cs="Times New Roman"/>
          <w:bCs/>
          <w:color w:val="auto"/>
          <w:kern w:val="0"/>
          <w:sz w:val="24"/>
          <w:szCs w:val="24"/>
        </w:rPr>
        <w:t>3.4 用户获取与运营策略</w:t>
      </w:r>
      <w:bookmarkEnd w:id="30"/>
    </w:p>
    <w:p w14:paraId="65B19083">
      <w:pPr>
        <w:pStyle w:val="4"/>
        <w:keepNext w:val="0"/>
        <w:keepLines w:val="0"/>
        <w:spacing w:before="0" w:after="0" w:line="480" w:lineRule="exact"/>
        <w:ind w:firstLine="482" w:firstLineChars="200"/>
        <w:rPr>
          <w:rFonts w:hint="eastAsia" w:ascii="宋体" w:hAnsi="宋体" w:eastAsia="宋体" w:cs="Times New Roman"/>
          <w:b/>
          <w:bCs/>
          <w:color w:val="auto"/>
          <w:kern w:val="0"/>
          <w:sz w:val="24"/>
          <w:szCs w:val="24"/>
        </w:rPr>
      </w:pPr>
      <w:bookmarkStart w:id="31" w:name="_Toc232355776"/>
      <w:r>
        <w:rPr>
          <w:rFonts w:hint="eastAsia" w:ascii="宋体" w:hAnsi="宋体" w:eastAsia="宋体" w:cs="Times New Roman"/>
          <w:b/>
          <w:bCs/>
          <w:color w:val="auto"/>
          <w:kern w:val="0"/>
          <w:sz w:val="24"/>
          <w:szCs w:val="24"/>
        </w:rPr>
        <w:t>3.4.1 C端获客：B2B2C五道触达机制</w:t>
      </w:r>
      <w:bookmarkEnd w:id="31"/>
    </w:p>
    <w:p w14:paraId="6801CF9F">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依托B端机构合作构建高转化触达渠道，</w:t>
      </w:r>
      <w:r>
        <w:rPr>
          <w:rFonts w:ascii="宋体" w:hAnsi="宋体" w:eastAsia="宋体"/>
          <w:sz w:val="24"/>
          <w:szCs w:val="24"/>
        </w:rPr>
        <w:t>将被动等待用户下载转变为场景化主动触达</w:t>
      </w:r>
      <w:r>
        <w:rPr>
          <w:rFonts w:hint="eastAsia" w:ascii="宋体" w:hAnsi="宋体" w:eastAsia="宋体"/>
          <w:sz w:val="24"/>
          <w:szCs w:val="24"/>
        </w:rPr>
        <w:t>，</w:t>
      </w:r>
      <w:r>
        <w:rPr>
          <w:rFonts w:ascii="宋体" w:hAnsi="宋体" w:eastAsia="宋体"/>
          <w:sz w:val="24"/>
          <w:szCs w:val="24"/>
        </w:rPr>
        <w:t>共分为五道触达路径</w:t>
      </w:r>
      <w:r>
        <w:rPr>
          <w:rFonts w:hint="eastAsia" w:ascii="宋体" w:hAnsi="宋体" w:eastAsia="宋体"/>
          <w:sz w:val="24"/>
          <w:szCs w:val="24"/>
        </w:rPr>
        <w:t>：</w:t>
      </w:r>
    </w:p>
    <w:p w14:paraId="28870564">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第一道：机构筛查强制触达。嵌入学校年度心理健康普测、企业员工健康体检、医院精神科初诊筛查流程。</w:t>
      </w:r>
    </w:p>
    <w:p w14:paraId="5EE6A61E">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第二道：专业人员背书触达。通过学校心理教师、企业HR、临床医生的日常推荐。</w:t>
      </w:r>
    </w:p>
    <w:p w14:paraId="517FB01A">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第三道：福利权益对接触达。对接企业员工福利体系、校园健康积分体系。</w:t>
      </w:r>
    </w:p>
    <w:p w14:paraId="2A93C22B">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第四道：种子用户裂变触达。推出“21天焦虑改善打卡”“亲友健康组队计划”。</w:t>
      </w:r>
    </w:p>
    <w:p w14:paraId="018CB49B">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第五道：公益科普引流触达。通过校园公益讲座、短视频科普内容矩阵覆盖泛焦虑人群。</w:t>
      </w:r>
    </w:p>
    <w:p w14:paraId="0DF94EA4">
      <w:pPr>
        <w:pStyle w:val="4"/>
        <w:keepNext w:val="0"/>
        <w:keepLines w:val="0"/>
        <w:spacing w:before="0" w:after="0" w:line="480" w:lineRule="exact"/>
        <w:ind w:firstLine="482" w:firstLineChars="200"/>
        <w:rPr>
          <w:rFonts w:hint="eastAsia" w:ascii="宋体" w:hAnsi="宋体" w:eastAsia="宋体" w:cs="Times New Roman"/>
          <w:b/>
          <w:bCs/>
          <w:color w:val="auto"/>
          <w:kern w:val="0"/>
          <w:sz w:val="24"/>
          <w:szCs w:val="24"/>
        </w:rPr>
      </w:pPr>
      <w:bookmarkStart w:id="32" w:name="_Toc232355777"/>
      <w:r>
        <w:rPr>
          <w:rFonts w:hint="eastAsia" w:ascii="宋体" w:hAnsi="宋体" w:eastAsia="宋体" w:cs="Times New Roman"/>
          <w:b/>
          <w:bCs/>
          <w:color w:val="auto"/>
          <w:kern w:val="0"/>
          <w:sz w:val="24"/>
          <w:szCs w:val="24"/>
        </w:rPr>
        <w:t>3.4.2 B端获客：轻量试点→机构采购的渐进路径</w:t>
      </w:r>
      <w:bookmarkEnd w:id="32"/>
    </w:p>
    <w:p w14:paraId="304AA320">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采取“部门试点→整体合作”的三级推进策略，大幅降低B端合作决策门槛：先以免费试用版（支持1个班级/部门/科室）作为轻量切入点；试点数据形成可量化效果案例后，推动院系/部门层面深度合作；最后在部门验证基础上，进入校级/企业级/院级整体采购流程。</w:t>
      </w:r>
    </w:p>
    <w:p w14:paraId="3A60D4C9">
      <w:pPr>
        <w:pStyle w:val="4"/>
        <w:keepNext w:val="0"/>
        <w:keepLines w:val="0"/>
        <w:spacing w:before="0" w:after="0" w:line="480" w:lineRule="exact"/>
        <w:ind w:firstLine="482" w:firstLineChars="200"/>
        <w:rPr>
          <w:rFonts w:hint="eastAsia" w:ascii="宋体" w:hAnsi="宋体" w:eastAsia="宋体" w:cs="Times New Roman"/>
          <w:b/>
          <w:bCs/>
          <w:color w:val="auto"/>
          <w:kern w:val="0"/>
          <w:sz w:val="24"/>
          <w:szCs w:val="24"/>
        </w:rPr>
      </w:pPr>
      <w:bookmarkStart w:id="33" w:name="_Toc232355778"/>
      <w:r>
        <w:rPr>
          <w:rFonts w:hint="eastAsia" w:ascii="宋体" w:hAnsi="宋体" w:eastAsia="宋体" w:cs="Times New Roman"/>
          <w:b/>
          <w:bCs/>
          <w:color w:val="auto"/>
          <w:kern w:val="0"/>
          <w:sz w:val="24"/>
          <w:szCs w:val="24"/>
        </w:rPr>
        <w:t>3.4.3 家庭版延展：存量唤醒+亲友社群</w:t>
      </w:r>
      <w:bookmarkEnd w:id="33"/>
    </w:p>
    <w:p w14:paraId="2FCFF029">
      <w:pPr>
        <w:spacing w:line="480" w:lineRule="exact"/>
        <w:ind w:firstLine="480" w:firstLineChars="200"/>
        <w:rPr>
          <w:rFonts w:hint="eastAsia" w:ascii="宋体" w:hAnsi="宋体" w:eastAsia="宋体"/>
          <w:sz w:val="24"/>
          <w:szCs w:val="24"/>
        </w:rPr>
      </w:pPr>
      <w:r>
        <w:rPr>
          <w:rFonts w:ascii="宋体" w:hAnsi="宋体" w:eastAsia="宋体"/>
          <w:sz w:val="24"/>
          <w:szCs w:val="24"/>
        </w:rPr>
        <w:t>不单独投放付费广告</w:t>
      </w:r>
      <w:r>
        <w:rPr>
          <w:rFonts w:hint="eastAsia" w:ascii="宋体" w:hAnsi="宋体" w:eastAsia="宋体"/>
          <w:sz w:val="24"/>
          <w:szCs w:val="24"/>
        </w:rPr>
        <w:t>，依托个人版存量用户实现家庭版低成本转化。</w:t>
      </w:r>
    </w:p>
    <w:p w14:paraId="573D1B7A">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①通过“全家健康统一管理”入口引导一键升级家庭版（1主账号+4子账号）；②推出“亲友组队健康计划”，已付费用户邀请3名以上亲友开通可享受团队折扣；③个人版检测数据、疗愈记录可一键共享给家庭管理员，形成全家健康数据资产。</w:t>
      </w:r>
    </w:p>
    <w:p w14:paraId="5E53F534">
      <w:pPr>
        <w:pStyle w:val="3"/>
        <w:keepNext w:val="0"/>
        <w:keepLines w:val="0"/>
        <w:spacing w:before="0" w:after="0" w:line="480" w:lineRule="exact"/>
        <w:ind w:firstLine="480" w:firstLineChars="200"/>
        <w:rPr>
          <w:rFonts w:hint="eastAsia" w:ascii="宋体" w:hAnsi="宋体" w:eastAsia="宋体" w:cs="Times New Roman"/>
          <w:bCs/>
          <w:color w:val="auto"/>
          <w:kern w:val="0"/>
          <w:sz w:val="24"/>
          <w:szCs w:val="24"/>
        </w:rPr>
      </w:pPr>
      <w:bookmarkStart w:id="34" w:name="_Toc232355779"/>
      <w:r>
        <w:rPr>
          <w:rFonts w:hint="eastAsia" w:ascii="宋体" w:hAnsi="宋体" w:eastAsia="宋体" w:cs="Times New Roman"/>
          <w:bCs/>
          <w:color w:val="auto"/>
          <w:kern w:val="0"/>
          <w:sz w:val="24"/>
          <w:szCs w:val="24"/>
        </w:rPr>
        <w:t>3.5 数据安全与隐私保护</w:t>
      </w:r>
      <w:bookmarkEnd w:id="34"/>
    </w:p>
    <w:p w14:paraId="55F2BC95">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严格遵循《个人信息保护法》《数据安全法》，建立全流程数据安全防护体系。</w:t>
      </w:r>
    </w:p>
    <w:p w14:paraId="5C398129">
      <w:pPr>
        <w:spacing w:line="480" w:lineRule="exact"/>
        <w:ind w:firstLine="482" w:firstLineChars="200"/>
        <w:rPr>
          <w:rFonts w:hint="eastAsia" w:ascii="宋体" w:hAnsi="宋体" w:eastAsia="宋体"/>
          <w:sz w:val="24"/>
          <w:szCs w:val="24"/>
        </w:rPr>
      </w:pPr>
      <w:r>
        <w:rPr>
          <w:rFonts w:hint="eastAsia" w:ascii="宋体" w:hAnsi="宋体" w:eastAsia="宋体"/>
          <w:b/>
          <w:bCs/>
          <w:sz w:val="24"/>
          <w:szCs w:val="24"/>
        </w:rPr>
        <w:t>采集最小化</w:t>
      </w:r>
      <w:r>
        <w:rPr>
          <w:rFonts w:hint="eastAsia" w:ascii="宋体" w:hAnsi="宋体" w:eastAsia="宋体"/>
          <w:sz w:val="24"/>
          <w:szCs w:val="24"/>
        </w:rPr>
        <w:t>：仅采集与焦虑检测、行为干预直接相关的数据，不采集通讯录、精准定位、浏览记录等无关信息。</w:t>
      </w:r>
    </w:p>
    <w:p w14:paraId="251CE45A">
      <w:pPr>
        <w:spacing w:line="480" w:lineRule="exact"/>
        <w:ind w:firstLine="482" w:firstLineChars="200"/>
        <w:rPr>
          <w:rFonts w:hint="eastAsia" w:ascii="宋体" w:hAnsi="宋体" w:eastAsia="宋体"/>
          <w:sz w:val="24"/>
          <w:szCs w:val="24"/>
        </w:rPr>
      </w:pPr>
      <w:r>
        <w:rPr>
          <w:rFonts w:hint="eastAsia" w:ascii="宋体" w:hAnsi="宋体" w:eastAsia="宋体"/>
          <w:b/>
          <w:bCs/>
          <w:sz w:val="24"/>
          <w:szCs w:val="24"/>
        </w:rPr>
        <w:t>本地优先处理</w:t>
      </w:r>
      <w:r>
        <w:rPr>
          <w:rFonts w:hint="eastAsia" w:ascii="宋体" w:hAnsi="宋体" w:eastAsia="宋体"/>
          <w:sz w:val="24"/>
          <w:szCs w:val="24"/>
        </w:rPr>
        <w:t>：所有原始视频、传感器数据在设备本地完成计算与分析，仅上传脱敏后的结构化检测结果。</w:t>
      </w:r>
    </w:p>
    <w:p w14:paraId="60711E18">
      <w:pPr>
        <w:spacing w:line="480" w:lineRule="exact"/>
        <w:ind w:firstLine="482" w:firstLineChars="200"/>
        <w:rPr>
          <w:rFonts w:hint="eastAsia" w:ascii="宋体" w:hAnsi="宋体" w:eastAsia="宋体"/>
          <w:sz w:val="24"/>
          <w:szCs w:val="24"/>
        </w:rPr>
      </w:pPr>
      <w:r>
        <w:rPr>
          <w:rFonts w:hint="eastAsia" w:ascii="宋体" w:hAnsi="宋体" w:eastAsia="宋体"/>
          <w:b/>
          <w:bCs/>
          <w:sz w:val="24"/>
          <w:szCs w:val="24"/>
        </w:rPr>
        <w:t>全链路加密</w:t>
      </w:r>
      <w:r>
        <w:rPr>
          <w:rFonts w:hint="eastAsia" w:ascii="宋体" w:hAnsi="宋体" w:eastAsia="宋体"/>
          <w:sz w:val="24"/>
          <w:szCs w:val="24"/>
        </w:rPr>
        <w:t>：数据传输采用HTTPS加密，个人敏感数据采用AES-256加密存储。</w:t>
      </w:r>
    </w:p>
    <w:p w14:paraId="6E9C70E8">
      <w:pPr>
        <w:spacing w:line="480" w:lineRule="exact"/>
        <w:ind w:firstLine="482" w:firstLineChars="200"/>
        <w:rPr>
          <w:rFonts w:hint="eastAsia" w:ascii="宋体" w:hAnsi="宋体" w:eastAsia="宋体"/>
          <w:sz w:val="24"/>
          <w:szCs w:val="24"/>
        </w:rPr>
      </w:pPr>
      <w:r>
        <w:rPr>
          <w:rFonts w:hint="eastAsia" w:ascii="宋体" w:hAnsi="宋体" w:eastAsia="宋体"/>
          <w:b/>
          <w:bCs/>
          <w:sz w:val="24"/>
          <w:szCs w:val="24"/>
        </w:rPr>
        <w:t>分级授权</w:t>
      </w:r>
      <w:r>
        <w:rPr>
          <w:rFonts w:hint="eastAsia" w:ascii="宋体" w:hAnsi="宋体" w:eastAsia="宋体"/>
          <w:sz w:val="24"/>
          <w:szCs w:val="24"/>
        </w:rPr>
        <w:t>：B端机构仅可查看脱敏汇总后的群体趋势数据，</w:t>
      </w:r>
      <w:r>
        <w:rPr>
          <w:rFonts w:ascii="宋体" w:hAnsi="宋体" w:eastAsia="宋体"/>
          <w:sz w:val="24"/>
          <w:szCs w:val="24"/>
        </w:rPr>
        <w:t>无法调取任何个人隐私信息</w:t>
      </w:r>
      <w:r>
        <w:rPr>
          <w:rFonts w:hint="eastAsia" w:ascii="宋体" w:hAnsi="宋体" w:eastAsia="宋体"/>
          <w:sz w:val="24"/>
          <w:szCs w:val="24"/>
        </w:rPr>
        <w:t>。</w:t>
      </w:r>
    </w:p>
    <w:p w14:paraId="02A46D98">
      <w:pPr>
        <w:spacing w:line="480" w:lineRule="exact"/>
        <w:ind w:firstLine="482" w:firstLineChars="200"/>
        <w:rPr>
          <w:rFonts w:hint="eastAsia" w:ascii="宋体" w:hAnsi="宋体" w:eastAsia="宋体"/>
          <w:sz w:val="24"/>
          <w:szCs w:val="24"/>
        </w:rPr>
      </w:pPr>
      <w:r>
        <w:rPr>
          <w:rFonts w:hint="eastAsia" w:ascii="宋体" w:hAnsi="宋体" w:eastAsia="宋体"/>
          <w:b/>
          <w:bCs/>
          <w:sz w:val="24"/>
          <w:szCs w:val="24"/>
        </w:rPr>
        <w:t>用户控制权</w:t>
      </w:r>
      <w:r>
        <w:rPr>
          <w:rFonts w:hint="eastAsia" w:ascii="宋体" w:hAnsi="宋体" w:eastAsia="宋体"/>
          <w:sz w:val="24"/>
          <w:szCs w:val="24"/>
        </w:rPr>
        <w:t>：用户可随时查看、导出、删除个人所有数据，注销账号时彻底清除所有关联数据。</w:t>
      </w:r>
    </w:p>
    <w:p w14:paraId="790D16B0">
      <w:pPr>
        <w:spacing w:line="480" w:lineRule="exact"/>
        <w:ind w:firstLine="480" w:firstLineChars="200"/>
        <w:rPr>
          <w:rFonts w:hint="eastAsia" w:ascii="宋体" w:hAnsi="宋体" w:eastAsia="宋体"/>
          <w:sz w:val="24"/>
          <w:szCs w:val="24"/>
        </w:rPr>
      </w:pPr>
    </w:p>
    <w:p w14:paraId="062C602B">
      <w:pPr>
        <w:pStyle w:val="52"/>
        <w:rPr>
          <w:rFonts w:hint="eastAsia"/>
        </w:rPr>
      </w:pPr>
      <w:bookmarkStart w:id="35" w:name="_Toc232355780"/>
      <w:r>
        <w:rPr>
          <w:rFonts w:hint="eastAsia"/>
        </w:rPr>
        <w:t>四、商业模式与盈利规划</w:t>
      </w:r>
      <w:bookmarkEnd w:id="35"/>
    </w:p>
    <w:p w14:paraId="6F721055">
      <w:pPr>
        <w:pStyle w:val="3"/>
        <w:keepNext w:val="0"/>
        <w:keepLines w:val="0"/>
        <w:spacing w:before="0" w:after="0" w:line="480" w:lineRule="exact"/>
        <w:ind w:firstLine="480" w:firstLineChars="200"/>
        <w:rPr>
          <w:rFonts w:hint="eastAsia" w:ascii="宋体" w:hAnsi="宋体" w:eastAsia="宋体" w:cs="Times New Roman"/>
          <w:bCs/>
          <w:color w:val="auto"/>
          <w:kern w:val="0"/>
          <w:sz w:val="24"/>
          <w:szCs w:val="24"/>
        </w:rPr>
      </w:pPr>
      <w:bookmarkStart w:id="36" w:name="_Toc232355781"/>
      <w:r>
        <w:rPr>
          <w:rFonts w:hint="eastAsia" w:ascii="宋体" w:hAnsi="宋体" w:eastAsia="宋体" w:cs="Times New Roman"/>
          <w:bCs/>
          <w:color w:val="auto"/>
          <w:kern w:val="0"/>
          <w:sz w:val="24"/>
          <w:szCs w:val="24"/>
        </w:rPr>
        <w:t>4.1 商业模式概述</w:t>
      </w:r>
      <w:bookmarkEnd w:id="36"/>
    </w:p>
    <w:p w14:paraId="05E98E5C">
      <w:pPr>
        <w:spacing w:line="480" w:lineRule="exact"/>
        <w:ind w:firstLine="480" w:firstLineChars="200"/>
        <w:rPr>
          <w:rFonts w:hint="eastAsia" w:ascii="宋体" w:hAnsi="宋体" w:eastAsia="宋体"/>
          <w:sz w:val="24"/>
          <w:szCs w:val="24"/>
        </w:rPr>
      </w:pPr>
      <w:bookmarkStart w:id="37" w:name="OLE_LINK1"/>
      <w:r>
        <w:rPr>
          <w:rFonts w:hint="eastAsia" w:ascii="宋体" w:hAnsi="宋体" w:eastAsia="宋体"/>
          <w:sz w:val="24"/>
          <w:szCs w:val="24"/>
        </w:rPr>
        <w:t>心安动识采用“硬件+软件SaaS+专业服务+品牌周边+数据授权”的多元化商业模式，核心逻辑为B2B2C商业闭环：通过B端机构实现规模化、低成本用户触达，C端用户付费订阅与智能硬件销售贡献主要收入，品牌周边与数据授权服务作为高毛利补充，形成“用户获取→价值交付→持续变现→生态延伸”的完整商业飞轮。</w:t>
      </w:r>
    </w:p>
    <w:p w14:paraId="6C070E1A">
      <w:pPr>
        <w:pStyle w:val="4"/>
        <w:keepNext w:val="0"/>
        <w:keepLines w:val="0"/>
        <w:spacing w:before="0" w:after="0" w:line="480" w:lineRule="exact"/>
        <w:ind w:firstLine="482" w:firstLineChars="200"/>
        <w:rPr>
          <w:rFonts w:hint="eastAsia" w:ascii="宋体" w:hAnsi="宋体" w:eastAsia="宋体" w:cs="Times New Roman"/>
          <w:b/>
          <w:bCs/>
          <w:color w:val="auto"/>
          <w:kern w:val="0"/>
          <w:sz w:val="24"/>
          <w:szCs w:val="24"/>
        </w:rPr>
      </w:pPr>
      <w:bookmarkStart w:id="38" w:name="_Toc232355782"/>
      <w:r>
        <w:rPr>
          <w:rFonts w:hint="eastAsia" w:ascii="宋体" w:hAnsi="宋体" w:eastAsia="宋体" w:cs="Times New Roman"/>
          <w:b/>
          <w:bCs/>
          <w:color w:val="auto"/>
          <w:kern w:val="0"/>
          <w:sz w:val="24"/>
          <w:szCs w:val="24"/>
        </w:rPr>
        <w:t>4.1.1五条核心收入线</w:t>
      </w:r>
      <w:bookmarkEnd w:id="38"/>
    </w:p>
    <w:p w14:paraId="65B4DB80">
      <w:pPr>
        <w:pStyle w:val="4"/>
        <w:keepNext w:val="0"/>
        <w:keepLines w:val="0"/>
        <w:spacing w:before="0" w:after="0" w:line="480" w:lineRule="exact"/>
        <w:ind w:firstLine="482" w:firstLineChars="200"/>
        <w:rPr>
          <w:rFonts w:hint="eastAsia" w:ascii="宋体" w:hAnsi="宋体" w:eastAsia="宋体"/>
          <w:color w:val="auto"/>
          <w:sz w:val="24"/>
          <w:szCs w:val="24"/>
        </w:rPr>
      </w:pPr>
      <w:bookmarkStart w:id="39" w:name="_Toc232355783"/>
      <w:r>
        <w:rPr>
          <w:rFonts w:hint="eastAsia" w:ascii="宋体" w:hAnsi="宋体" w:eastAsia="宋体" w:cs="Times New Roman"/>
          <w:b/>
          <w:bCs/>
          <w:color w:val="auto"/>
          <w:kern w:val="0"/>
          <w:sz w:val="24"/>
          <w:szCs w:val="24"/>
        </w:rPr>
        <w:t>1.</w:t>
      </w:r>
      <w:r>
        <w:rPr>
          <w:rFonts w:hint="eastAsia" w:ascii="宋体" w:hAnsi="宋体" w:eastAsia="宋体"/>
          <w:color w:val="auto"/>
          <w:sz w:val="24"/>
          <w:szCs w:val="24"/>
        </w:rPr>
        <w:t>C端个人/家庭订阅服务（35%）</w:t>
      </w:r>
      <w:bookmarkEnd w:id="39"/>
    </w:p>
    <w:p w14:paraId="6655B89B">
      <w:pPr>
        <w:pStyle w:val="4"/>
        <w:keepNext w:val="0"/>
        <w:keepLines w:val="0"/>
        <w:spacing w:before="0" w:after="0" w:line="480" w:lineRule="exact"/>
        <w:ind w:firstLine="480" w:firstLineChars="200"/>
        <w:rPr>
          <w:rFonts w:hint="eastAsia" w:ascii="宋体" w:hAnsi="宋体" w:eastAsia="宋体"/>
          <w:color w:val="auto"/>
          <w:sz w:val="24"/>
          <w:szCs w:val="24"/>
        </w:rPr>
      </w:pPr>
      <w:bookmarkStart w:id="40" w:name="_Toc232355784"/>
      <w:r>
        <w:rPr>
          <w:rFonts w:hint="eastAsia" w:ascii="宋体" w:hAnsi="宋体" w:eastAsia="宋体"/>
          <w:color w:val="auto"/>
          <w:sz w:val="24"/>
          <w:szCs w:val="24"/>
        </w:rPr>
        <w:t>2.B端机构SaaS服务（25%）</w:t>
      </w:r>
      <w:bookmarkEnd w:id="40"/>
    </w:p>
    <w:p w14:paraId="0197FCDC">
      <w:pPr>
        <w:pStyle w:val="4"/>
        <w:keepNext w:val="0"/>
        <w:keepLines w:val="0"/>
        <w:spacing w:before="0" w:after="0" w:line="480" w:lineRule="exact"/>
        <w:ind w:firstLine="480" w:firstLineChars="200"/>
        <w:rPr>
          <w:rFonts w:hint="eastAsia" w:ascii="宋体" w:hAnsi="宋体" w:eastAsia="宋体"/>
          <w:color w:val="auto"/>
          <w:sz w:val="24"/>
          <w:szCs w:val="24"/>
        </w:rPr>
      </w:pPr>
      <w:bookmarkStart w:id="41" w:name="_Toc232355785"/>
      <w:r>
        <w:rPr>
          <w:rFonts w:hint="eastAsia" w:ascii="宋体" w:hAnsi="宋体" w:eastAsia="宋体"/>
          <w:color w:val="auto"/>
          <w:sz w:val="24"/>
          <w:szCs w:val="24"/>
        </w:rPr>
        <w:t>3.智能硬件销售（20%）</w:t>
      </w:r>
      <w:bookmarkEnd w:id="41"/>
    </w:p>
    <w:p w14:paraId="3ECC42A3">
      <w:pPr>
        <w:pStyle w:val="4"/>
        <w:keepNext w:val="0"/>
        <w:keepLines w:val="0"/>
        <w:spacing w:before="0" w:after="0" w:line="480" w:lineRule="exact"/>
        <w:ind w:firstLine="480" w:firstLineChars="200"/>
        <w:rPr>
          <w:rFonts w:hint="eastAsia" w:ascii="宋体" w:hAnsi="宋体" w:eastAsia="宋体"/>
          <w:color w:val="auto"/>
          <w:sz w:val="24"/>
          <w:szCs w:val="24"/>
        </w:rPr>
      </w:pPr>
      <w:bookmarkStart w:id="42" w:name="_Toc232355786"/>
      <w:r>
        <w:rPr>
          <w:rFonts w:hint="eastAsia" w:ascii="宋体" w:hAnsi="宋体" w:eastAsia="宋体"/>
          <w:color w:val="auto"/>
          <w:sz w:val="24"/>
          <w:szCs w:val="24"/>
        </w:rPr>
        <w:t>4.品牌周边产品销售（10%）</w:t>
      </w:r>
      <w:bookmarkEnd w:id="42"/>
    </w:p>
    <w:p w14:paraId="3D254254">
      <w:pPr>
        <w:pStyle w:val="4"/>
        <w:keepNext w:val="0"/>
        <w:keepLines w:val="0"/>
        <w:spacing w:before="0" w:after="0" w:line="480" w:lineRule="exact"/>
        <w:ind w:firstLine="480" w:firstLineChars="200"/>
        <w:rPr>
          <w:rFonts w:hint="eastAsia" w:ascii="宋体" w:hAnsi="宋体" w:eastAsia="宋体" w:cs="Times New Roman"/>
          <w:b/>
          <w:bCs/>
          <w:color w:val="auto"/>
          <w:kern w:val="0"/>
          <w:sz w:val="24"/>
          <w:szCs w:val="24"/>
        </w:rPr>
      </w:pPr>
      <w:bookmarkStart w:id="43" w:name="_Toc232355787"/>
      <w:r>
        <w:rPr>
          <w:rFonts w:hint="eastAsia" w:ascii="宋体" w:hAnsi="宋体" w:eastAsia="宋体"/>
          <w:color w:val="auto"/>
          <w:sz w:val="24"/>
          <w:szCs w:val="24"/>
        </w:rPr>
        <w:t>5.脱敏数据授权与API服务（10%）</w:t>
      </w:r>
      <w:bookmarkEnd w:id="43"/>
    </w:p>
    <w:p w14:paraId="596E7106">
      <w:pPr>
        <w:pStyle w:val="4"/>
        <w:keepNext w:val="0"/>
        <w:keepLines w:val="0"/>
        <w:spacing w:before="0" w:after="0" w:line="480" w:lineRule="exact"/>
        <w:ind w:firstLine="482" w:firstLineChars="200"/>
        <w:rPr>
          <w:rFonts w:hint="eastAsia" w:ascii="宋体" w:hAnsi="宋体" w:eastAsia="宋体" w:cs="Times New Roman"/>
          <w:b/>
          <w:bCs/>
          <w:color w:val="auto"/>
          <w:kern w:val="0"/>
          <w:sz w:val="24"/>
          <w:szCs w:val="24"/>
        </w:rPr>
      </w:pPr>
      <w:bookmarkStart w:id="44" w:name="_Toc232355788"/>
      <w:r>
        <w:rPr>
          <w:rFonts w:hint="eastAsia" w:ascii="宋体" w:hAnsi="宋体" w:eastAsia="宋体" w:cs="Times New Roman"/>
          <w:b/>
          <w:bCs/>
          <w:color w:val="auto"/>
          <w:kern w:val="0"/>
          <w:sz w:val="24"/>
          <w:szCs w:val="24"/>
        </w:rPr>
        <w:t>4.1.2硬件-软件-服务协同变现生态</w:t>
      </w:r>
      <w:bookmarkEnd w:id="44"/>
    </w:p>
    <w:p w14:paraId="7CF2CB38">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构建“硬件引流-软件留存-服务变现-数据反哺”的正向循环。</w:t>
      </w:r>
    </w:p>
    <w:p w14:paraId="096B0D99">
      <w:pPr>
        <w:spacing w:line="480" w:lineRule="exact"/>
        <w:ind w:firstLine="482" w:firstLineChars="200"/>
        <w:rPr>
          <w:rFonts w:hint="eastAsia" w:ascii="宋体" w:hAnsi="宋体" w:eastAsia="宋体"/>
          <w:sz w:val="24"/>
          <w:szCs w:val="24"/>
        </w:rPr>
      </w:pPr>
      <w:r>
        <w:rPr>
          <w:rFonts w:hint="eastAsia" w:ascii="宋体" w:hAnsi="宋体" w:eastAsia="宋体"/>
          <w:b/>
          <w:bCs/>
          <w:sz w:val="24"/>
          <w:szCs w:val="24"/>
        </w:rPr>
        <w:t>硬件引流</w:t>
      </w:r>
      <w:r>
        <w:rPr>
          <w:rFonts w:hint="eastAsia" w:ascii="宋体" w:hAnsi="宋体" w:eastAsia="宋体"/>
          <w:sz w:val="24"/>
          <w:szCs w:val="24"/>
        </w:rPr>
        <w:t>：智能手环/腕带作为流量入口，通过高性价比硬件获取精准用户。</w:t>
      </w:r>
    </w:p>
    <w:p w14:paraId="6AF54992">
      <w:pPr>
        <w:spacing w:line="480" w:lineRule="exact"/>
        <w:ind w:firstLine="482" w:firstLineChars="200"/>
        <w:rPr>
          <w:rFonts w:hint="eastAsia" w:ascii="宋体" w:hAnsi="宋体" w:eastAsia="宋体"/>
          <w:sz w:val="24"/>
          <w:szCs w:val="24"/>
        </w:rPr>
      </w:pPr>
      <w:r>
        <w:rPr>
          <w:rFonts w:hint="eastAsia" w:ascii="宋体" w:hAnsi="宋体" w:eastAsia="宋体"/>
          <w:b/>
          <w:bCs/>
          <w:sz w:val="24"/>
          <w:szCs w:val="24"/>
        </w:rPr>
        <w:t>软件留存</w:t>
      </w:r>
      <w:r>
        <w:rPr>
          <w:rFonts w:hint="eastAsia" w:ascii="宋体" w:hAnsi="宋体" w:eastAsia="宋体"/>
          <w:sz w:val="24"/>
          <w:szCs w:val="24"/>
        </w:rPr>
        <w:t>：通过AI陪伴、个性化疗愈、社区互动提升用户粘性，将一次性硬件购买转化为长期订阅用户。</w:t>
      </w:r>
    </w:p>
    <w:p w14:paraId="5F145F92">
      <w:pPr>
        <w:spacing w:line="480" w:lineRule="exact"/>
        <w:ind w:firstLine="482" w:firstLineChars="200"/>
        <w:rPr>
          <w:rFonts w:hint="eastAsia" w:ascii="宋体" w:hAnsi="宋体" w:eastAsia="宋体"/>
          <w:sz w:val="24"/>
          <w:szCs w:val="24"/>
        </w:rPr>
      </w:pPr>
      <w:r>
        <w:rPr>
          <w:rFonts w:hint="eastAsia" w:ascii="宋体" w:hAnsi="宋体" w:eastAsia="宋体"/>
          <w:b/>
          <w:bCs/>
          <w:sz w:val="24"/>
          <w:szCs w:val="24"/>
        </w:rPr>
        <w:t>服务变现</w:t>
      </w:r>
      <w:r>
        <w:rPr>
          <w:rFonts w:hint="eastAsia" w:ascii="宋体" w:hAnsi="宋体" w:eastAsia="宋体"/>
          <w:sz w:val="24"/>
          <w:szCs w:val="24"/>
        </w:rPr>
        <w:t>：针对高需求用户推出专业版订阅、专家咨询等增值服务。</w:t>
      </w:r>
    </w:p>
    <w:p w14:paraId="2BA355DB">
      <w:pPr>
        <w:spacing w:line="480" w:lineRule="exact"/>
        <w:ind w:firstLine="482" w:firstLineChars="200"/>
        <w:rPr>
          <w:rFonts w:hint="eastAsia" w:ascii="宋体" w:hAnsi="宋体" w:eastAsia="宋体"/>
          <w:sz w:val="24"/>
          <w:szCs w:val="24"/>
        </w:rPr>
      </w:pPr>
      <w:r>
        <w:rPr>
          <w:rFonts w:hint="eastAsia" w:ascii="宋体" w:hAnsi="宋体" w:eastAsia="宋体"/>
          <w:b/>
          <w:bCs/>
          <w:sz w:val="24"/>
          <w:szCs w:val="24"/>
        </w:rPr>
        <w:t>数据反哺</w:t>
      </w:r>
      <w:r>
        <w:rPr>
          <w:rFonts w:hint="eastAsia" w:ascii="宋体" w:hAnsi="宋体" w:eastAsia="宋体"/>
          <w:sz w:val="24"/>
          <w:szCs w:val="24"/>
        </w:rPr>
        <w:t>：用户行为数据持续优化AI算法与硬件功能，进一步提升产品竞争力。</w:t>
      </w:r>
    </w:p>
    <w:bookmarkEnd w:id="37"/>
    <w:p w14:paraId="34218907">
      <w:pPr>
        <w:pStyle w:val="3"/>
        <w:keepNext w:val="0"/>
        <w:keepLines w:val="0"/>
        <w:spacing w:before="0" w:after="0" w:line="480" w:lineRule="exact"/>
        <w:ind w:firstLine="480" w:firstLineChars="200"/>
        <w:rPr>
          <w:rFonts w:hint="eastAsia" w:ascii="宋体" w:hAnsi="宋体" w:eastAsia="宋体" w:cs="Times New Roman"/>
          <w:bCs/>
          <w:color w:val="auto"/>
          <w:kern w:val="0"/>
          <w:sz w:val="24"/>
          <w:szCs w:val="24"/>
        </w:rPr>
      </w:pPr>
      <w:bookmarkStart w:id="45" w:name="_Toc232355789"/>
      <w:r>
        <w:rPr>
          <w:rFonts w:hint="eastAsia" w:ascii="宋体" w:hAnsi="宋体" w:eastAsia="宋体" w:cs="Times New Roman"/>
          <w:bCs/>
          <w:color w:val="auto"/>
          <w:kern w:val="0"/>
          <w:sz w:val="24"/>
          <w:szCs w:val="24"/>
        </w:rPr>
        <w:t>4.2 定价策略</w:t>
      </w:r>
      <w:bookmarkEnd w:id="45"/>
    </w:p>
    <w:p w14:paraId="05929C8D">
      <w:pPr>
        <w:spacing w:line="480" w:lineRule="exact"/>
        <w:ind w:firstLine="482" w:firstLineChars="200"/>
        <w:rPr>
          <w:rFonts w:hint="eastAsia" w:ascii="宋体" w:hAnsi="宋体" w:eastAsia="宋体"/>
          <w:sz w:val="24"/>
          <w:szCs w:val="24"/>
        </w:rPr>
      </w:pPr>
      <w:r>
        <w:rPr>
          <w:rFonts w:hint="eastAsia" w:ascii="宋体" w:hAnsi="宋体" w:eastAsia="宋体"/>
          <w:b/>
          <w:bCs/>
          <w:sz w:val="24"/>
          <w:szCs w:val="24"/>
        </w:rPr>
        <w:t>C端个人用户</w:t>
      </w:r>
      <w:r>
        <w:rPr>
          <w:rFonts w:hint="eastAsia" w:ascii="宋体" w:hAnsi="宋体" w:eastAsia="宋体"/>
          <w:sz w:val="24"/>
          <w:szCs w:val="24"/>
        </w:rPr>
        <w:t>：基础版0元/月；专业版29.9元/月；家庭版49.9元/月；永久会员299元一次性，终身使用。</w:t>
      </w:r>
    </w:p>
    <w:p w14:paraId="648C79E1">
      <w:pPr>
        <w:spacing w:line="480" w:lineRule="exact"/>
        <w:ind w:firstLine="482" w:firstLineChars="200"/>
        <w:rPr>
          <w:rFonts w:hint="eastAsia" w:ascii="宋体" w:hAnsi="宋体" w:eastAsia="宋体"/>
          <w:sz w:val="24"/>
          <w:szCs w:val="24"/>
        </w:rPr>
      </w:pPr>
      <w:r>
        <w:rPr>
          <w:rFonts w:hint="eastAsia" w:ascii="宋体" w:hAnsi="宋体" w:eastAsia="宋体"/>
          <w:b/>
          <w:bCs/>
          <w:sz w:val="24"/>
          <w:szCs w:val="24"/>
        </w:rPr>
        <w:t>B端机构用户</w:t>
      </w:r>
      <w:r>
        <w:rPr>
          <w:rFonts w:hint="eastAsia" w:ascii="宋体" w:hAnsi="宋体" w:eastAsia="宋体"/>
          <w:sz w:val="24"/>
          <w:szCs w:val="24"/>
        </w:rPr>
        <w:t>：学校心理健康包29,800元/年/校；企业EAP包49,800元/年/企；临床机构专业版79,800元/年/院；养老机构关爱包19,800元/年/机构。</w:t>
      </w:r>
    </w:p>
    <w:p w14:paraId="7C2C9077">
      <w:pPr>
        <w:spacing w:line="480" w:lineRule="exact"/>
        <w:ind w:firstLine="482" w:firstLineChars="200"/>
        <w:rPr>
          <w:rFonts w:hint="eastAsia" w:ascii="宋体" w:hAnsi="宋体" w:eastAsia="宋体"/>
          <w:sz w:val="24"/>
          <w:szCs w:val="24"/>
        </w:rPr>
      </w:pPr>
      <w:r>
        <w:rPr>
          <w:rFonts w:hint="eastAsia" w:ascii="宋体" w:hAnsi="宋体" w:eastAsia="宋体"/>
          <w:b/>
          <w:bCs/>
          <w:sz w:val="24"/>
          <w:szCs w:val="24"/>
        </w:rPr>
        <w:t>智能硬件</w:t>
      </w:r>
      <w:r>
        <w:rPr>
          <w:rFonts w:hint="eastAsia" w:ascii="宋体" w:hAnsi="宋体" w:eastAsia="宋体"/>
          <w:sz w:val="24"/>
          <w:szCs w:val="24"/>
        </w:rPr>
        <w:t>：智能手环硬件199-399元/件。</w:t>
      </w:r>
    </w:p>
    <w:p w14:paraId="54AF1C5E">
      <w:pPr>
        <w:spacing w:line="480" w:lineRule="exact"/>
        <w:ind w:firstLine="482" w:firstLineChars="200"/>
        <w:rPr>
          <w:rFonts w:hint="eastAsia" w:ascii="宋体" w:hAnsi="宋体" w:eastAsia="宋体"/>
          <w:sz w:val="24"/>
          <w:szCs w:val="24"/>
        </w:rPr>
      </w:pPr>
      <w:r>
        <w:rPr>
          <w:rFonts w:hint="eastAsia" w:ascii="宋体" w:hAnsi="宋体" w:eastAsia="宋体"/>
          <w:b/>
          <w:bCs/>
          <w:sz w:val="24"/>
          <w:szCs w:val="24"/>
        </w:rPr>
        <w:t>品牌周边</w:t>
      </w:r>
      <w:r>
        <w:rPr>
          <w:rFonts w:hint="eastAsia" w:ascii="宋体" w:hAnsi="宋体" w:eastAsia="宋体"/>
          <w:sz w:val="24"/>
          <w:szCs w:val="24"/>
        </w:rPr>
        <w:t>：覆盖8大品类，单价12-79元不等，综合毛利率约59%。</w:t>
      </w:r>
    </w:p>
    <w:p w14:paraId="5CE014CB">
      <w:pPr>
        <w:spacing w:line="480" w:lineRule="exact"/>
        <w:ind w:firstLine="482" w:firstLineChars="200"/>
        <w:rPr>
          <w:rFonts w:hint="eastAsia" w:ascii="宋体" w:hAnsi="宋体" w:eastAsia="宋体"/>
          <w:sz w:val="24"/>
          <w:szCs w:val="24"/>
        </w:rPr>
      </w:pPr>
      <w:r>
        <w:rPr>
          <w:rFonts w:hint="eastAsia" w:ascii="宋体" w:hAnsi="宋体" w:eastAsia="宋体"/>
          <w:b/>
          <w:bCs/>
          <w:sz w:val="24"/>
          <w:szCs w:val="24"/>
        </w:rPr>
        <w:t>数据服务</w:t>
      </w:r>
      <w:r>
        <w:rPr>
          <w:rFonts w:hint="eastAsia" w:ascii="宋体" w:hAnsi="宋体" w:eastAsia="宋体"/>
          <w:sz w:val="24"/>
          <w:szCs w:val="24"/>
        </w:rPr>
        <w:t>：脱敏行为数据学术授权50-200万元/年；AI模型API按调用量付费。</w:t>
      </w:r>
    </w:p>
    <w:p w14:paraId="1B8A9700">
      <w:pPr>
        <w:pStyle w:val="3"/>
        <w:keepNext w:val="0"/>
        <w:keepLines w:val="0"/>
        <w:spacing w:before="0" w:after="0" w:line="480" w:lineRule="exact"/>
        <w:ind w:firstLine="480" w:firstLineChars="200"/>
        <w:rPr>
          <w:rFonts w:hint="eastAsia" w:ascii="宋体" w:hAnsi="宋体" w:eastAsia="宋体" w:cs="Times New Roman"/>
          <w:bCs/>
          <w:color w:val="auto"/>
          <w:kern w:val="0"/>
          <w:sz w:val="24"/>
          <w:szCs w:val="24"/>
        </w:rPr>
      </w:pPr>
      <w:bookmarkStart w:id="46" w:name="_Toc232355790"/>
      <w:r>
        <w:rPr>
          <w:rFonts w:hint="eastAsia" w:ascii="宋体" w:hAnsi="宋体" w:eastAsia="宋体" w:cs="Times New Roman"/>
          <w:bCs/>
          <w:color w:val="auto"/>
          <w:kern w:val="0"/>
          <w:sz w:val="24"/>
          <w:szCs w:val="24"/>
        </w:rPr>
        <w:t>4.3 收入预测模型</w:t>
      </w:r>
      <w:bookmarkEnd w:id="46"/>
    </w:p>
    <w:p w14:paraId="2ECF9A04">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基于保守估计，项目未来五年营业收入预测（万元）：</w:t>
      </w:r>
    </w:p>
    <w:p w14:paraId="6D545C13">
      <w:pPr>
        <w:pStyle w:val="12"/>
        <w:keepNext/>
        <w:ind w:firstLine="480" w:firstLineChars="200"/>
        <w:rPr>
          <w:rFonts w:hint="eastAsia" w:ascii="宋体" w:hAnsi="宋体" w:eastAsia="宋体"/>
          <w:sz w:val="24"/>
          <w:szCs w:val="24"/>
        </w:rPr>
      </w:pPr>
      <w:r>
        <w:rPr>
          <w:rFonts w:hint="eastAsia" w:ascii="宋体" w:hAnsi="宋体" w:eastAsia="宋体"/>
          <w:sz w:val="24"/>
          <w:szCs w:val="24"/>
        </w:rPr>
        <w:t xml:space="preserve">表 </w:t>
      </w:r>
      <w:r>
        <w:rPr>
          <w:rFonts w:hint="eastAsia" w:ascii="宋体" w:hAnsi="宋体" w:eastAsia="宋体"/>
          <w:sz w:val="24"/>
          <w:szCs w:val="24"/>
        </w:rPr>
        <w:fldChar w:fldCharType="begin"/>
      </w:r>
      <w:r>
        <w:rPr>
          <w:rFonts w:hint="eastAsia" w:ascii="宋体" w:hAnsi="宋体" w:eastAsia="宋体"/>
          <w:sz w:val="24"/>
          <w:szCs w:val="24"/>
        </w:rPr>
        <w:instrText xml:space="preserve"> SEQ 表 \* ARABIC </w:instrText>
      </w:r>
      <w:r>
        <w:rPr>
          <w:rFonts w:hint="eastAsia" w:ascii="宋体" w:hAnsi="宋体" w:eastAsia="宋体"/>
          <w:sz w:val="24"/>
          <w:szCs w:val="24"/>
        </w:rPr>
        <w:fldChar w:fldCharType="separate"/>
      </w:r>
      <w:r>
        <w:rPr>
          <w:rFonts w:hint="eastAsia" w:ascii="宋体" w:hAnsi="宋体" w:eastAsia="宋体"/>
          <w:sz w:val="24"/>
          <w:szCs w:val="24"/>
        </w:rPr>
        <w:t>3</w:t>
      </w:r>
      <w:r>
        <w:rPr>
          <w:rFonts w:hint="eastAsia" w:ascii="宋体" w:hAnsi="宋体" w:eastAsia="宋体"/>
          <w:sz w:val="24"/>
          <w:szCs w:val="24"/>
        </w:rPr>
        <w:fldChar w:fldCharType="end"/>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2"/>
        <w:gridCol w:w="1382"/>
        <w:gridCol w:w="1383"/>
        <w:gridCol w:w="1383"/>
        <w:gridCol w:w="1383"/>
        <w:gridCol w:w="1383"/>
      </w:tblGrid>
      <w:tr w14:paraId="3D7CC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585D2FD3">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收入类型</w:t>
            </w:r>
          </w:p>
        </w:tc>
        <w:tc>
          <w:tcPr>
            <w:tcW w:w="1382" w:type="dxa"/>
          </w:tcPr>
          <w:p w14:paraId="0A00934A">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Year1</w:t>
            </w:r>
          </w:p>
        </w:tc>
        <w:tc>
          <w:tcPr>
            <w:tcW w:w="1383" w:type="dxa"/>
          </w:tcPr>
          <w:p w14:paraId="531F24FF">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Year2</w:t>
            </w:r>
          </w:p>
        </w:tc>
        <w:tc>
          <w:tcPr>
            <w:tcW w:w="1383" w:type="dxa"/>
          </w:tcPr>
          <w:p w14:paraId="6CDB1D6E">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Year3</w:t>
            </w:r>
          </w:p>
        </w:tc>
        <w:tc>
          <w:tcPr>
            <w:tcW w:w="1383" w:type="dxa"/>
          </w:tcPr>
          <w:p w14:paraId="2D04FA26">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Year4</w:t>
            </w:r>
          </w:p>
        </w:tc>
        <w:tc>
          <w:tcPr>
            <w:tcW w:w="1383" w:type="dxa"/>
          </w:tcPr>
          <w:p w14:paraId="32FD60F1">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Year5</w:t>
            </w:r>
          </w:p>
        </w:tc>
      </w:tr>
      <w:tr w14:paraId="7FBA6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781B179C">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C端订阅服务</w:t>
            </w:r>
          </w:p>
        </w:tc>
        <w:tc>
          <w:tcPr>
            <w:tcW w:w="1382" w:type="dxa"/>
          </w:tcPr>
          <w:p w14:paraId="4265C0BF">
            <w:pPr>
              <w:ind w:firstLine="480" w:firstLineChars="200"/>
              <w:rPr>
                <w:rFonts w:hint="eastAsia" w:ascii="宋体" w:hAnsi="宋体" w:eastAsia="宋体" w:cs="Times New Roman"/>
                <w:sz w:val="24"/>
                <w:szCs w:val="24"/>
                <w14:ligatures w14:val="standardContextual"/>
              </w:rPr>
            </w:pPr>
            <w:r>
              <w:rPr>
                <w:rFonts w:hint="eastAsia" w:ascii="宋体" w:hAnsi="宋体" w:eastAsia="宋体" w:cs="Times New Roman"/>
                <w:sz w:val="24"/>
                <w:szCs w:val="24"/>
                <w14:ligatures w14:val="standardContextual"/>
              </w:rPr>
              <w:t>10</w:t>
            </w:r>
            <w:r>
              <w:rPr>
                <w:rFonts w:ascii="宋体" w:hAnsi="宋体" w:eastAsia="宋体" w:cs="Times New Roman"/>
                <w:sz w:val="24"/>
                <w:szCs w:val="24"/>
                <w14:ligatures w14:val="standardContextual"/>
              </w:rPr>
              <w:t>0</w:t>
            </w:r>
          </w:p>
        </w:tc>
        <w:tc>
          <w:tcPr>
            <w:tcW w:w="1383" w:type="dxa"/>
          </w:tcPr>
          <w:p w14:paraId="54A029A4">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400</w:t>
            </w:r>
          </w:p>
        </w:tc>
        <w:tc>
          <w:tcPr>
            <w:tcW w:w="1383" w:type="dxa"/>
          </w:tcPr>
          <w:p w14:paraId="1F6A52A5">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1,200</w:t>
            </w:r>
          </w:p>
        </w:tc>
        <w:tc>
          <w:tcPr>
            <w:tcW w:w="1383" w:type="dxa"/>
          </w:tcPr>
          <w:p w14:paraId="4CF14428">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3,000</w:t>
            </w:r>
          </w:p>
        </w:tc>
        <w:tc>
          <w:tcPr>
            <w:tcW w:w="1383" w:type="dxa"/>
          </w:tcPr>
          <w:p w14:paraId="5ED07F8E">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8,000</w:t>
            </w:r>
          </w:p>
        </w:tc>
      </w:tr>
      <w:tr w14:paraId="1E693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2C0D2B29">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智能硬件销售</w:t>
            </w:r>
          </w:p>
        </w:tc>
        <w:tc>
          <w:tcPr>
            <w:tcW w:w="1382" w:type="dxa"/>
          </w:tcPr>
          <w:p w14:paraId="103D9EF0">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1</w:t>
            </w:r>
            <w:r>
              <w:rPr>
                <w:rFonts w:hint="eastAsia" w:ascii="宋体" w:hAnsi="宋体" w:eastAsia="宋体" w:cs="Times New Roman"/>
                <w:sz w:val="24"/>
                <w:szCs w:val="24"/>
                <w14:ligatures w14:val="standardContextual"/>
              </w:rPr>
              <w:t>5</w:t>
            </w:r>
            <w:r>
              <w:rPr>
                <w:rFonts w:ascii="宋体" w:hAnsi="宋体" w:eastAsia="宋体" w:cs="Times New Roman"/>
                <w:sz w:val="24"/>
                <w:szCs w:val="24"/>
                <w14:ligatures w14:val="standardContextual"/>
              </w:rPr>
              <w:t>0</w:t>
            </w:r>
          </w:p>
        </w:tc>
        <w:tc>
          <w:tcPr>
            <w:tcW w:w="1383" w:type="dxa"/>
          </w:tcPr>
          <w:p w14:paraId="270704E7">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400</w:t>
            </w:r>
          </w:p>
        </w:tc>
        <w:tc>
          <w:tcPr>
            <w:tcW w:w="1383" w:type="dxa"/>
          </w:tcPr>
          <w:p w14:paraId="5353CFBC">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1,</w:t>
            </w:r>
            <w:r>
              <w:rPr>
                <w:rFonts w:hint="eastAsia" w:ascii="宋体" w:hAnsi="宋体" w:eastAsia="宋体" w:cs="Times New Roman"/>
                <w:sz w:val="24"/>
                <w:szCs w:val="24"/>
                <w14:ligatures w14:val="standardContextual"/>
              </w:rPr>
              <w:t>0</w:t>
            </w:r>
            <w:r>
              <w:rPr>
                <w:rFonts w:ascii="宋体" w:hAnsi="宋体" w:eastAsia="宋体" w:cs="Times New Roman"/>
                <w:sz w:val="24"/>
                <w:szCs w:val="24"/>
                <w14:ligatures w14:val="standardContextual"/>
              </w:rPr>
              <w:t>00</w:t>
            </w:r>
          </w:p>
        </w:tc>
        <w:tc>
          <w:tcPr>
            <w:tcW w:w="1383" w:type="dxa"/>
          </w:tcPr>
          <w:p w14:paraId="51553384">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2,500</w:t>
            </w:r>
          </w:p>
        </w:tc>
        <w:tc>
          <w:tcPr>
            <w:tcW w:w="1383" w:type="dxa"/>
          </w:tcPr>
          <w:p w14:paraId="4CA62F16">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6,000</w:t>
            </w:r>
          </w:p>
        </w:tc>
      </w:tr>
      <w:tr w14:paraId="17041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45F83214">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B端机构服务</w:t>
            </w:r>
          </w:p>
        </w:tc>
        <w:tc>
          <w:tcPr>
            <w:tcW w:w="1382" w:type="dxa"/>
          </w:tcPr>
          <w:p w14:paraId="5DA5F099">
            <w:pPr>
              <w:ind w:firstLine="480" w:firstLineChars="200"/>
              <w:rPr>
                <w:rFonts w:hint="eastAsia" w:ascii="宋体" w:hAnsi="宋体" w:eastAsia="宋体" w:cs="Times New Roman"/>
                <w:sz w:val="24"/>
                <w:szCs w:val="24"/>
                <w14:ligatures w14:val="standardContextual"/>
              </w:rPr>
            </w:pPr>
            <w:r>
              <w:rPr>
                <w:rFonts w:hint="eastAsia" w:ascii="宋体" w:hAnsi="宋体" w:eastAsia="宋体" w:cs="Times New Roman"/>
                <w:sz w:val="24"/>
                <w:szCs w:val="24"/>
                <w14:ligatures w14:val="standardContextual"/>
              </w:rPr>
              <w:t>8</w:t>
            </w:r>
            <w:r>
              <w:rPr>
                <w:rFonts w:ascii="宋体" w:hAnsi="宋体" w:eastAsia="宋体" w:cs="Times New Roman"/>
                <w:sz w:val="24"/>
                <w:szCs w:val="24"/>
                <w14:ligatures w14:val="standardContextual"/>
              </w:rPr>
              <w:t>0</w:t>
            </w:r>
          </w:p>
        </w:tc>
        <w:tc>
          <w:tcPr>
            <w:tcW w:w="1383" w:type="dxa"/>
          </w:tcPr>
          <w:p w14:paraId="420BF46D">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250</w:t>
            </w:r>
          </w:p>
        </w:tc>
        <w:tc>
          <w:tcPr>
            <w:tcW w:w="1383" w:type="dxa"/>
          </w:tcPr>
          <w:p w14:paraId="5FACC114">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800</w:t>
            </w:r>
          </w:p>
        </w:tc>
        <w:tc>
          <w:tcPr>
            <w:tcW w:w="1383" w:type="dxa"/>
          </w:tcPr>
          <w:p w14:paraId="0178010C">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1,500</w:t>
            </w:r>
          </w:p>
        </w:tc>
        <w:tc>
          <w:tcPr>
            <w:tcW w:w="1383" w:type="dxa"/>
          </w:tcPr>
          <w:p w14:paraId="73CCE899">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3,500</w:t>
            </w:r>
          </w:p>
        </w:tc>
      </w:tr>
      <w:tr w14:paraId="4697F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1390EB59">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品牌周边产品</w:t>
            </w:r>
          </w:p>
        </w:tc>
        <w:tc>
          <w:tcPr>
            <w:tcW w:w="1382" w:type="dxa"/>
          </w:tcPr>
          <w:p w14:paraId="39A17792">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30</w:t>
            </w:r>
          </w:p>
        </w:tc>
        <w:tc>
          <w:tcPr>
            <w:tcW w:w="1383" w:type="dxa"/>
          </w:tcPr>
          <w:p w14:paraId="0274E566">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100</w:t>
            </w:r>
          </w:p>
        </w:tc>
        <w:tc>
          <w:tcPr>
            <w:tcW w:w="1383" w:type="dxa"/>
          </w:tcPr>
          <w:p w14:paraId="599126DC">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300</w:t>
            </w:r>
          </w:p>
        </w:tc>
        <w:tc>
          <w:tcPr>
            <w:tcW w:w="1383" w:type="dxa"/>
          </w:tcPr>
          <w:p w14:paraId="308CB797">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600</w:t>
            </w:r>
          </w:p>
        </w:tc>
        <w:tc>
          <w:tcPr>
            <w:tcW w:w="1383" w:type="dxa"/>
          </w:tcPr>
          <w:p w14:paraId="216BFB64">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1,500</w:t>
            </w:r>
          </w:p>
        </w:tc>
      </w:tr>
      <w:tr w14:paraId="3EB4B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4EB24F52">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数据服务</w:t>
            </w:r>
          </w:p>
        </w:tc>
        <w:tc>
          <w:tcPr>
            <w:tcW w:w="1382" w:type="dxa"/>
          </w:tcPr>
          <w:p w14:paraId="2999E77D">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20</w:t>
            </w:r>
          </w:p>
        </w:tc>
        <w:tc>
          <w:tcPr>
            <w:tcW w:w="1383" w:type="dxa"/>
          </w:tcPr>
          <w:p w14:paraId="10527311">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50</w:t>
            </w:r>
          </w:p>
        </w:tc>
        <w:tc>
          <w:tcPr>
            <w:tcW w:w="1383" w:type="dxa"/>
          </w:tcPr>
          <w:p w14:paraId="4614FFAF">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200</w:t>
            </w:r>
          </w:p>
        </w:tc>
        <w:tc>
          <w:tcPr>
            <w:tcW w:w="1383" w:type="dxa"/>
          </w:tcPr>
          <w:p w14:paraId="2EA1B25E">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400</w:t>
            </w:r>
          </w:p>
        </w:tc>
        <w:tc>
          <w:tcPr>
            <w:tcW w:w="1383" w:type="dxa"/>
          </w:tcPr>
          <w:p w14:paraId="0C44992B">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1,000</w:t>
            </w:r>
          </w:p>
        </w:tc>
      </w:tr>
      <w:tr w14:paraId="155A9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351DB0B9">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合计</w:t>
            </w:r>
            <w:r>
              <w:rPr>
                <w:rFonts w:hint="eastAsia" w:ascii="宋体" w:hAnsi="宋体" w:eastAsia="宋体" w:cs="Times New Roman"/>
                <w:sz w:val="24"/>
                <w:szCs w:val="24"/>
                <w14:ligatures w14:val="standardContextual"/>
              </w:rPr>
              <w:t>(</w:t>
            </w:r>
            <w:r>
              <w:rPr>
                <w:rFonts w:ascii="宋体" w:hAnsi="宋体" w:eastAsia="宋体" w:cs="Times New Roman"/>
                <w:sz w:val="24"/>
                <w:szCs w:val="24"/>
                <w14:ligatures w14:val="standardContextual"/>
              </w:rPr>
              <w:t>万元</w:t>
            </w:r>
            <w:r>
              <w:rPr>
                <w:rFonts w:hint="eastAsia" w:ascii="宋体" w:hAnsi="宋体" w:eastAsia="宋体" w:cs="Times New Roman"/>
                <w:sz w:val="24"/>
                <w:szCs w:val="24"/>
                <w14:ligatures w14:val="standardContextual"/>
              </w:rPr>
              <w:t>)</w:t>
            </w:r>
          </w:p>
        </w:tc>
        <w:tc>
          <w:tcPr>
            <w:tcW w:w="1382" w:type="dxa"/>
          </w:tcPr>
          <w:p w14:paraId="4F11734F">
            <w:pPr>
              <w:ind w:firstLine="480" w:firstLineChars="200"/>
              <w:rPr>
                <w:rFonts w:hint="eastAsia" w:ascii="宋体" w:hAnsi="宋体" w:eastAsia="宋体" w:cs="Times New Roman"/>
                <w:sz w:val="24"/>
                <w:szCs w:val="24"/>
                <w14:ligatures w14:val="standardContextual"/>
              </w:rPr>
            </w:pPr>
            <w:r>
              <w:rPr>
                <w:rFonts w:hint="eastAsia" w:ascii="宋体" w:hAnsi="宋体" w:eastAsia="宋体" w:cs="Times New Roman"/>
                <w:sz w:val="24"/>
                <w:szCs w:val="24"/>
                <w14:ligatures w14:val="standardContextual"/>
              </w:rPr>
              <w:t>3</w:t>
            </w:r>
            <w:r>
              <w:rPr>
                <w:rFonts w:ascii="宋体" w:hAnsi="宋体" w:eastAsia="宋体" w:cs="Times New Roman"/>
                <w:sz w:val="24"/>
                <w:szCs w:val="24"/>
                <w14:ligatures w14:val="standardContextual"/>
              </w:rPr>
              <w:t>80</w:t>
            </w:r>
          </w:p>
        </w:tc>
        <w:tc>
          <w:tcPr>
            <w:tcW w:w="1383" w:type="dxa"/>
          </w:tcPr>
          <w:p w14:paraId="6B819030">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1,200</w:t>
            </w:r>
          </w:p>
        </w:tc>
        <w:tc>
          <w:tcPr>
            <w:tcW w:w="1383" w:type="dxa"/>
          </w:tcPr>
          <w:p w14:paraId="64857041">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3,500</w:t>
            </w:r>
          </w:p>
        </w:tc>
        <w:tc>
          <w:tcPr>
            <w:tcW w:w="1383" w:type="dxa"/>
          </w:tcPr>
          <w:p w14:paraId="6E306053">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8,000</w:t>
            </w:r>
          </w:p>
        </w:tc>
        <w:tc>
          <w:tcPr>
            <w:tcW w:w="1383" w:type="dxa"/>
          </w:tcPr>
          <w:p w14:paraId="50EC53E0">
            <w:pPr>
              <w:ind w:firstLine="480" w:firstLineChars="200"/>
              <w:rPr>
                <w:rFonts w:hint="eastAsia" w:ascii="宋体" w:hAnsi="宋体" w:eastAsia="宋体" w:cs="Times New Roman"/>
                <w:sz w:val="24"/>
                <w:szCs w:val="24"/>
                <w14:ligatures w14:val="standardContextual"/>
              </w:rPr>
            </w:pPr>
            <w:r>
              <w:rPr>
                <w:rFonts w:ascii="宋体" w:hAnsi="宋体" w:eastAsia="宋体" w:cs="Times New Roman"/>
                <w:sz w:val="24"/>
                <w:szCs w:val="24"/>
                <w14:ligatures w14:val="standardContextual"/>
              </w:rPr>
              <w:t>20,000</w:t>
            </w:r>
          </w:p>
        </w:tc>
      </w:tr>
    </w:tbl>
    <w:p w14:paraId="508B03ED">
      <w:pPr>
        <w:pStyle w:val="3"/>
        <w:keepNext w:val="0"/>
        <w:keepLines w:val="0"/>
        <w:spacing w:before="0" w:after="0" w:line="480" w:lineRule="exact"/>
        <w:ind w:firstLine="480" w:firstLineChars="200"/>
        <w:rPr>
          <w:rFonts w:hint="eastAsia" w:ascii="宋体" w:hAnsi="宋体" w:eastAsia="宋体" w:cs="Times New Roman"/>
          <w:bCs/>
          <w:color w:val="auto"/>
          <w:kern w:val="0"/>
          <w:sz w:val="24"/>
          <w:szCs w:val="24"/>
        </w:rPr>
      </w:pPr>
      <w:bookmarkStart w:id="47" w:name="_Toc232355791"/>
      <w:r>
        <w:rPr>
          <w:rFonts w:hint="eastAsia" w:ascii="宋体" w:hAnsi="宋体" w:eastAsia="宋体" w:cs="Times New Roman"/>
          <w:bCs/>
          <w:color w:val="auto"/>
          <w:kern w:val="0"/>
          <w:sz w:val="24"/>
          <w:szCs w:val="24"/>
        </w:rPr>
        <w:t xml:space="preserve">4.4 </w:t>
      </w:r>
      <w:r>
        <w:rPr>
          <w:rFonts w:ascii="宋体" w:hAnsi="宋体" w:eastAsia="宋体" w:cs="Times New Roman"/>
          <w:bCs/>
          <w:color w:val="auto"/>
          <w:kern w:val="0"/>
          <w:sz w:val="24"/>
          <w:szCs w:val="24"/>
        </w:rPr>
        <w:t>B</w:t>
      </w:r>
      <w:r>
        <w:rPr>
          <w:rFonts w:hint="eastAsia" w:ascii="宋体" w:hAnsi="宋体" w:eastAsia="宋体" w:cs="Times New Roman"/>
          <w:bCs/>
          <w:color w:val="auto"/>
          <w:kern w:val="0"/>
          <w:sz w:val="24"/>
          <w:szCs w:val="24"/>
        </w:rPr>
        <w:t>端ARR累计模型</w:t>
      </w:r>
      <w:bookmarkEnd w:id="47"/>
    </w:p>
    <w:p w14:paraId="002272B1">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B端机构服务采用3年期框架合同、按年付款、新签+续约叠加的ARR累计结构，单家机构加权平均年合同额约5万元（覆盖学校2.98万/年、企业4.98万/年、临床7.98万/年、养老1.98万/年的客户结构，含基础SaaS服务与少量增值服务），累计ARR与当年B端服务收入完全匹配（80%基准续约率）：</w:t>
      </w:r>
    </w:p>
    <w:p w14:paraId="4496B0BD">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Year1：新签16家试点机构（4所学校+6家企业+4家临床+2家养老），累计生效合同16家，累计ARR 80万元。</w:t>
      </w:r>
    </w:p>
    <w:p w14:paraId="64072497">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Year2：新增37家机构，叠加老客户80%续约，累计生效合同50家，累计ARR 250万元。</w:t>
      </w:r>
    </w:p>
    <w:p w14:paraId="0113AC98">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Year3：新增120家机构，叠加老客户80%续约，累计生效合同160家，累计ARR 800万元。</w:t>
      </w:r>
    </w:p>
    <w:p w14:paraId="6AD100BC">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Year4：新增172家机构，叠加老客户80%续约，累计生效合同300家，累计ARR 1500万元。</w:t>
      </w:r>
    </w:p>
    <w:p w14:paraId="6F160B01">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Year5：新增460家机构，叠加老客户80%续约，累计生效合同700家，累计ARR 3500万元。</w:t>
      </w:r>
    </w:p>
    <w:p w14:paraId="3BB12185">
      <w:pPr>
        <w:pStyle w:val="3"/>
        <w:keepNext w:val="0"/>
        <w:keepLines w:val="0"/>
        <w:spacing w:before="0" w:after="0" w:line="480" w:lineRule="exact"/>
        <w:ind w:firstLine="480" w:firstLineChars="200"/>
        <w:rPr>
          <w:rFonts w:hint="eastAsia" w:ascii="宋体" w:hAnsi="宋体" w:eastAsia="宋体" w:cs="Times New Roman"/>
          <w:bCs/>
          <w:color w:val="auto"/>
          <w:kern w:val="0"/>
          <w:sz w:val="24"/>
          <w:szCs w:val="24"/>
        </w:rPr>
      </w:pPr>
      <w:bookmarkStart w:id="48" w:name="_Toc232355792"/>
      <w:r>
        <w:rPr>
          <w:rFonts w:hint="eastAsia" w:ascii="宋体" w:hAnsi="宋体" w:eastAsia="宋体" w:cs="Times New Roman"/>
          <w:bCs/>
          <w:color w:val="auto"/>
          <w:kern w:val="0"/>
          <w:sz w:val="24"/>
          <w:szCs w:val="24"/>
        </w:rPr>
        <w:t>4.5 LTV/CAC单元经济学分析</w:t>
      </w:r>
      <w:bookmarkEnd w:id="48"/>
    </w:p>
    <w:p w14:paraId="155FC469">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对不同用户类型的单元经济学进行测算，结果符合行业健康标准：</w:t>
      </w:r>
    </w:p>
    <w:p w14:paraId="15FEA280">
      <w:pPr>
        <w:pStyle w:val="12"/>
        <w:keepNext/>
        <w:ind w:firstLine="480" w:firstLineChars="200"/>
        <w:rPr>
          <w:rFonts w:hint="eastAsia" w:ascii="宋体" w:hAnsi="宋体" w:eastAsia="宋体"/>
          <w:sz w:val="24"/>
          <w:szCs w:val="24"/>
        </w:rPr>
      </w:pPr>
      <w:r>
        <w:rPr>
          <w:rFonts w:hint="eastAsia" w:ascii="宋体" w:hAnsi="宋体" w:eastAsia="宋体"/>
          <w:sz w:val="24"/>
          <w:szCs w:val="24"/>
        </w:rPr>
        <w:t xml:space="preserve">表 </w:t>
      </w:r>
      <w:r>
        <w:rPr>
          <w:rFonts w:hint="eastAsia" w:ascii="宋体" w:hAnsi="宋体" w:eastAsia="宋体"/>
          <w:sz w:val="24"/>
          <w:szCs w:val="24"/>
        </w:rPr>
        <w:fldChar w:fldCharType="begin"/>
      </w:r>
      <w:r>
        <w:rPr>
          <w:rFonts w:hint="eastAsia" w:ascii="宋体" w:hAnsi="宋体" w:eastAsia="宋体"/>
          <w:sz w:val="24"/>
          <w:szCs w:val="24"/>
        </w:rPr>
        <w:instrText xml:space="preserve"> SEQ 表 \* ARABIC </w:instrText>
      </w:r>
      <w:r>
        <w:rPr>
          <w:rFonts w:hint="eastAsia" w:ascii="宋体" w:hAnsi="宋体" w:eastAsia="宋体"/>
          <w:sz w:val="24"/>
          <w:szCs w:val="24"/>
        </w:rPr>
        <w:fldChar w:fldCharType="separate"/>
      </w:r>
      <w:r>
        <w:rPr>
          <w:rFonts w:hint="eastAsia" w:ascii="宋体" w:hAnsi="宋体" w:eastAsia="宋体"/>
          <w:sz w:val="24"/>
          <w:szCs w:val="24"/>
        </w:rPr>
        <w:t>4</w:t>
      </w:r>
      <w:r>
        <w:rPr>
          <w:rFonts w:hint="eastAsia" w:ascii="宋体" w:hAnsi="宋体" w:eastAsia="宋体"/>
          <w:sz w:val="24"/>
          <w:szCs w:val="24"/>
        </w:rPr>
        <w:fldChar w:fldCharType="end"/>
      </w:r>
    </w:p>
    <w:tbl>
      <w:tblPr>
        <w:tblStyle w:val="26"/>
        <w:tblW w:w="84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1410"/>
        <w:gridCol w:w="1397"/>
        <w:gridCol w:w="1397"/>
        <w:gridCol w:w="1476"/>
        <w:gridCol w:w="1392"/>
      </w:tblGrid>
      <w:tr w14:paraId="1CE68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6" w:type="dxa"/>
          </w:tcPr>
          <w:p w14:paraId="64ACBE5F">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用户类型</w:t>
            </w:r>
          </w:p>
        </w:tc>
        <w:tc>
          <w:tcPr>
            <w:tcW w:w="1412" w:type="dxa"/>
          </w:tcPr>
          <w:p w14:paraId="5210335A">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阶段</w:t>
            </w:r>
          </w:p>
        </w:tc>
        <w:tc>
          <w:tcPr>
            <w:tcW w:w="1413" w:type="dxa"/>
          </w:tcPr>
          <w:p w14:paraId="528EF2AA">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CAC</w:t>
            </w:r>
          </w:p>
        </w:tc>
        <w:tc>
          <w:tcPr>
            <w:tcW w:w="1413" w:type="dxa"/>
          </w:tcPr>
          <w:p w14:paraId="51003DF9">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LTV</w:t>
            </w:r>
          </w:p>
        </w:tc>
        <w:tc>
          <w:tcPr>
            <w:tcW w:w="1401" w:type="dxa"/>
          </w:tcPr>
          <w:p w14:paraId="1156479C">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LTV/CAC</w:t>
            </w:r>
          </w:p>
        </w:tc>
        <w:tc>
          <w:tcPr>
            <w:tcW w:w="1413" w:type="dxa"/>
          </w:tcPr>
          <w:p w14:paraId="3605F075">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评估</w:t>
            </w:r>
          </w:p>
        </w:tc>
      </w:tr>
      <w:tr w14:paraId="060D8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6" w:type="dxa"/>
          </w:tcPr>
          <w:p w14:paraId="53135C74">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B端学校</w:t>
            </w:r>
          </w:p>
        </w:tc>
        <w:tc>
          <w:tcPr>
            <w:tcW w:w="1412" w:type="dxa"/>
          </w:tcPr>
          <w:p w14:paraId="28CEA62F">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Year1直销</w:t>
            </w:r>
          </w:p>
        </w:tc>
        <w:tc>
          <w:tcPr>
            <w:tcW w:w="1413" w:type="dxa"/>
          </w:tcPr>
          <w:p w14:paraId="1ACA1CF6">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0.8万元/校</w:t>
            </w:r>
          </w:p>
        </w:tc>
        <w:tc>
          <w:tcPr>
            <w:tcW w:w="1413" w:type="dxa"/>
          </w:tcPr>
          <w:p w14:paraId="56C5D292">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32万元/校</w:t>
            </w:r>
          </w:p>
        </w:tc>
        <w:tc>
          <w:tcPr>
            <w:tcW w:w="1401" w:type="dxa"/>
          </w:tcPr>
          <w:p w14:paraId="7E2C16A2">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40</w:t>
            </w:r>
          </w:p>
        </w:tc>
        <w:tc>
          <w:tcPr>
            <w:tcW w:w="1413" w:type="dxa"/>
          </w:tcPr>
          <w:p w14:paraId="7C6D3EC2">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红利期</w:t>
            </w:r>
          </w:p>
        </w:tc>
      </w:tr>
      <w:tr w14:paraId="5C8E0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6" w:type="dxa"/>
          </w:tcPr>
          <w:p w14:paraId="4FF53BFF">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B端企业</w:t>
            </w:r>
          </w:p>
        </w:tc>
        <w:tc>
          <w:tcPr>
            <w:tcW w:w="1412" w:type="dxa"/>
          </w:tcPr>
          <w:p w14:paraId="0E0B7D9B">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Year2+渠道</w:t>
            </w:r>
          </w:p>
        </w:tc>
        <w:tc>
          <w:tcPr>
            <w:tcW w:w="1413" w:type="dxa"/>
          </w:tcPr>
          <w:p w14:paraId="69DE6039">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2.5万元/企</w:t>
            </w:r>
          </w:p>
        </w:tc>
        <w:tc>
          <w:tcPr>
            <w:tcW w:w="1413" w:type="dxa"/>
          </w:tcPr>
          <w:p w14:paraId="131E5E66">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45万元/企</w:t>
            </w:r>
          </w:p>
        </w:tc>
        <w:tc>
          <w:tcPr>
            <w:tcW w:w="1401" w:type="dxa"/>
          </w:tcPr>
          <w:p w14:paraId="0F1833EB">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18</w:t>
            </w:r>
          </w:p>
        </w:tc>
        <w:tc>
          <w:tcPr>
            <w:tcW w:w="1413" w:type="dxa"/>
          </w:tcPr>
          <w:p w14:paraId="2E8C6F13">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远高于3倍健康基准</w:t>
            </w:r>
          </w:p>
        </w:tc>
      </w:tr>
      <w:tr w14:paraId="1109D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6" w:type="dxa"/>
          </w:tcPr>
          <w:p w14:paraId="4FE0D74C">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C端个人</w:t>
            </w:r>
          </w:p>
        </w:tc>
        <w:tc>
          <w:tcPr>
            <w:tcW w:w="1412" w:type="dxa"/>
          </w:tcPr>
          <w:p w14:paraId="7FB06555">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Year1冷启动</w:t>
            </w:r>
          </w:p>
        </w:tc>
        <w:tc>
          <w:tcPr>
            <w:tcW w:w="1413" w:type="dxa"/>
          </w:tcPr>
          <w:p w14:paraId="2D2C6F35">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150元/人</w:t>
            </w:r>
          </w:p>
        </w:tc>
        <w:tc>
          <w:tcPr>
            <w:tcW w:w="1413" w:type="dxa"/>
          </w:tcPr>
          <w:p w14:paraId="1CB30B83">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520元/人</w:t>
            </w:r>
          </w:p>
        </w:tc>
        <w:tc>
          <w:tcPr>
            <w:tcW w:w="1401" w:type="dxa"/>
          </w:tcPr>
          <w:p w14:paraId="1BCD7077">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3.5</w:t>
            </w:r>
          </w:p>
        </w:tc>
        <w:tc>
          <w:tcPr>
            <w:tcW w:w="1413" w:type="dxa"/>
          </w:tcPr>
          <w:p w14:paraId="336050D6">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高于3倍健康基准</w:t>
            </w:r>
          </w:p>
        </w:tc>
      </w:tr>
      <w:tr w14:paraId="342D3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6" w:type="dxa"/>
          </w:tcPr>
          <w:p w14:paraId="42DAE4C8">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C端个人</w:t>
            </w:r>
          </w:p>
        </w:tc>
        <w:tc>
          <w:tcPr>
            <w:tcW w:w="1412" w:type="dxa"/>
          </w:tcPr>
          <w:p w14:paraId="6287A06D">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Year2+裂变</w:t>
            </w:r>
          </w:p>
        </w:tc>
        <w:tc>
          <w:tcPr>
            <w:tcW w:w="1413" w:type="dxa"/>
          </w:tcPr>
          <w:p w14:paraId="0822524A">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约60元/人</w:t>
            </w:r>
          </w:p>
        </w:tc>
        <w:tc>
          <w:tcPr>
            <w:tcW w:w="1413" w:type="dxa"/>
          </w:tcPr>
          <w:p w14:paraId="27BB8872">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520元/人</w:t>
            </w:r>
          </w:p>
        </w:tc>
        <w:tc>
          <w:tcPr>
            <w:tcW w:w="1401" w:type="dxa"/>
          </w:tcPr>
          <w:p w14:paraId="606E53A8">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8.7</w:t>
            </w:r>
          </w:p>
        </w:tc>
        <w:tc>
          <w:tcPr>
            <w:tcW w:w="1413" w:type="dxa"/>
          </w:tcPr>
          <w:p w14:paraId="038C307F">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优秀</w:t>
            </w:r>
          </w:p>
        </w:tc>
      </w:tr>
      <w:tr w14:paraId="38223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6" w:type="dxa"/>
          </w:tcPr>
          <w:p w14:paraId="44C3AE23">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家庭版</w:t>
            </w:r>
          </w:p>
        </w:tc>
        <w:tc>
          <w:tcPr>
            <w:tcW w:w="1412" w:type="dxa"/>
          </w:tcPr>
          <w:p w14:paraId="21FC500E">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全阶段</w:t>
            </w:r>
          </w:p>
        </w:tc>
        <w:tc>
          <w:tcPr>
            <w:tcW w:w="1413" w:type="dxa"/>
          </w:tcPr>
          <w:p w14:paraId="6797ECAB">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≈0元</w:t>
            </w:r>
          </w:p>
        </w:tc>
        <w:tc>
          <w:tcPr>
            <w:tcW w:w="1413" w:type="dxa"/>
          </w:tcPr>
          <w:p w14:paraId="4A5F562E">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680元/人</w:t>
            </w:r>
          </w:p>
        </w:tc>
        <w:tc>
          <w:tcPr>
            <w:tcW w:w="1401" w:type="dxa"/>
          </w:tcPr>
          <w:p w14:paraId="4679F86E">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w:t>
            </w:r>
          </w:p>
        </w:tc>
        <w:tc>
          <w:tcPr>
            <w:tcW w:w="1413" w:type="dxa"/>
          </w:tcPr>
          <w:p w14:paraId="503C6602">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纯增量高毛利</w:t>
            </w:r>
          </w:p>
        </w:tc>
      </w:tr>
    </w:tbl>
    <w:p w14:paraId="12AF1734">
      <w:pPr>
        <w:pStyle w:val="3"/>
        <w:keepNext w:val="0"/>
        <w:keepLines w:val="0"/>
        <w:spacing w:before="0" w:after="0" w:line="480" w:lineRule="exact"/>
        <w:ind w:firstLine="480" w:firstLineChars="200"/>
        <w:rPr>
          <w:rFonts w:hint="eastAsia" w:ascii="宋体" w:hAnsi="宋体" w:eastAsia="宋体" w:cs="Times New Roman"/>
          <w:bCs/>
          <w:color w:val="auto"/>
          <w:kern w:val="0"/>
          <w:sz w:val="24"/>
          <w:szCs w:val="24"/>
        </w:rPr>
      </w:pPr>
      <w:bookmarkStart w:id="49" w:name="_Toc232355793"/>
      <w:r>
        <w:rPr>
          <w:rFonts w:hint="eastAsia" w:ascii="宋体" w:hAnsi="宋体" w:eastAsia="宋体" w:cs="Times New Roman"/>
          <w:bCs/>
          <w:color w:val="auto"/>
          <w:kern w:val="0"/>
          <w:sz w:val="24"/>
          <w:szCs w:val="24"/>
        </w:rPr>
        <w:t>4.6 成本结构与投资回报</w:t>
      </w:r>
      <w:bookmarkEnd w:id="49"/>
    </w:p>
    <w:p w14:paraId="6219F384">
      <w:pPr>
        <w:pStyle w:val="4"/>
        <w:keepNext w:val="0"/>
        <w:keepLines w:val="0"/>
        <w:spacing w:before="0" w:after="0" w:line="480" w:lineRule="exact"/>
        <w:ind w:firstLine="482" w:firstLineChars="200"/>
        <w:rPr>
          <w:rFonts w:hint="eastAsia" w:ascii="宋体" w:hAnsi="宋体" w:eastAsia="宋体" w:cs="Times New Roman"/>
          <w:b/>
          <w:bCs/>
          <w:color w:val="auto"/>
          <w:kern w:val="0"/>
          <w:sz w:val="24"/>
          <w:szCs w:val="24"/>
        </w:rPr>
      </w:pPr>
      <w:bookmarkStart w:id="50" w:name="_Toc232355794"/>
      <w:r>
        <w:rPr>
          <w:rFonts w:hint="eastAsia" w:ascii="宋体" w:hAnsi="宋体" w:eastAsia="宋体" w:cs="Times New Roman"/>
          <w:b/>
          <w:bCs/>
          <w:color w:val="auto"/>
          <w:kern w:val="0"/>
          <w:sz w:val="24"/>
          <w:szCs w:val="24"/>
        </w:rPr>
        <w:t>4.6.1 成本结构</w:t>
      </w:r>
      <w:bookmarkEnd w:id="50"/>
    </w:p>
    <w:p w14:paraId="189FEFB0">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项目成本占比保持长期稳定：研发人力成本40%、硬件物料与生产成本25%、云服务与基础设施15%、市场推广费用10%、运营与管理费用10%。</w:t>
      </w:r>
    </w:p>
    <w:p w14:paraId="4ABAF985">
      <w:pPr>
        <w:pStyle w:val="4"/>
        <w:keepNext w:val="0"/>
        <w:keepLines w:val="0"/>
        <w:spacing w:before="0" w:after="0" w:line="480" w:lineRule="exact"/>
        <w:ind w:firstLine="482" w:firstLineChars="200"/>
        <w:rPr>
          <w:rFonts w:hint="eastAsia" w:ascii="宋体" w:hAnsi="宋体" w:eastAsia="宋体" w:cs="Times New Roman"/>
          <w:b/>
          <w:bCs/>
          <w:color w:val="auto"/>
          <w:kern w:val="0"/>
          <w:sz w:val="24"/>
          <w:szCs w:val="24"/>
        </w:rPr>
      </w:pPr>
      <w:bookmarkStart w:id="51" w:name="_Toc232355795"/>
      <w:r>
        <w:rPr>
          <w:rFonts w:hint="eastAsia" w:ascii="宋体" w:hAnsi="宋体" w:eastAsia="宋体" w:cs="Times New Roman"/>
          <w:b/>
          <w:bCs/>
          <w:color w:val="auto"/>
          <w:kern w:val="0"/>
          <w:sz w:val="24"/>
          <w:szCs w:val="24"/>
        </w:rPr>
        <w:t>4.6.2 核心财务指标</w:t>
      </w:r>
      <w:bookmarkEnd w:id="51"/>
    </w:p>
    <w:p w14:paraId="02034135">
      <w:pPr>
        <w:pStyle w:val="12"/>
        <w:keepNext/>
        <w:ind w:firstLine="480" w:firstLineChars="200"/>
        <w:rPr>
          <w:rFonts w:hint="eastAsia" w:ascii="宋体" w:hAnsi="宋体" w:eastAsia="宋体"/>
          <w:sz w:val="24"/>
          <w:szCs w:val="24"/>
        </w:rPr>
      </w:pPr>
      <w:r>
        <w:rPr>
          <w:rFonts w:hint="eastAsia" w:ascii="宋体" w:hAnsi="宋体" w:eastAsia="宋体"/>
          <w:sz w:val="24"/>
          <w:szCs w:val="24"/>
        </w:rPr>
        <w:t xml:space="preserve">表 </w:t>
      </w:r>
      <w:r>
        <w:rPr>
          <w:rFonts w:hint="eastAsia" w:ascii="宋体" w:hAnsi="宋体" w:eastAsia="宋体"/>
          <w:sz w:val="24"/>
          <w:szCs w:val="24"/>
        </w:rPr>
        <w:fldChar w:fldCharType="begin"/>
      </w:r>
      <w:r>
        <w:rPr>
          <w:rFonts w:hint="eastAsia" w:ascii="宋体" w:hAnsi="宋体" w:eastAsia="宋体"/>
          <w:sz w:val="24"/>
          <w:szCs w:val="24"/>
        </w:rPr>
        <w:instrText xml:space="preserve"> SEQ 表 \* ARABIC </w:instrText>
      </w:r>
      <w:r>
        <w:rPr>
          <w:rFonts w:hint="eastAsia" w:ascii="宋体" w:hAnsi="宋体" w:eastAsia="宋体"/>
          <w:sz w:val="24"/>
          <w:szCs w:val="24"/>
        </w:rPr>
        <w:fldChar w:fldCharType="separate"/>
      </w:r>
      <w:r>
        <w:rPr>
          <w:rFonts w:hint="eastAsia" w:ascii="宋体" w:hAnsi="宋体" w:eastAsia="宋体"/>
          <w:sz w:val="24"/>
          <w:szCs w:val="24"/>
        </w:rPr>
        <w:t>5</w:t>
      </w:r>
      <w:r>
        <w:rPr>
          <w:rFonts w:hint="eastAsia" w:ascii="宋体" w:hAnsi="宋体" w:eastAsia="宋体"/>
          <w:sz w:val="24"/>
          <w:szCs w:val="24"/>
        </w:rPr>
        <w:fldChar w:fldCharType="end"/>
      </w:r>
    </w:p>
    <w:tbl>
      <w:tblPr>
        <w:tblStyle w:val="26"/>
        <w:tblW w:w="75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1356"/>
        <w:gridCol w:w="1356"/>
        <w:gridCol w:w="1236"/>
        <w:gridCol w:w="1236"/>
        <w:gridCol w:w="1356"/>
      </w:tblGrid>
      <w:tr w14:paraId="4B909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16" w:type="dxa"/>
          </w:tcPr>
          <w:p w14:paraId="51E93238">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指标</w:t>
            </w:r>
          </w:p>
        </w:tc>
        <w:tc>
          <w:tcPr>
            <w:tcW w:w="1096" w:type="dxa"/>
          </w:tcPr>
          <w:p w14:paraId="7A386F60">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Year1</w:t>
            </w:r>
          </w:p>
        </w:tc>
        <w:tc>
          <w:tcPr>
            <w:tcW w:w="1096" w:type="dxa"/>
          </w:tcPr>
          <w:p w14:paraId="6215AF55">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Year2</w:t>
            </w:r>
          </w:p>
        </w:tc>
        <w:tc>
          <w:tcPr>
            <w:tcW w:w="1016" w:type="dxa"/>
          </w:tcPr>
          <w:p w14:paraId="74F43AA6">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Year3</w:t>
            </w:r>
          </w:p>
        </w:tc>
        <w:tc>
          <w:tcPr>
            <w:tcW w:w="1016" w:type="dxa"/>
          </w:tcPr>
          <w:p w14:paraId="587AEC49">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Year4</w:t>
            </w:r>
          </w:p>
        </w:tc>
        <w:tc>
          <w:tcPr>
            <w:tcW w:w="1056" w:type="dxa"/>
          </w:tcPr>
          <w:p w14:paraId="7EC7A1A1">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Year5</w:t>
            </w:r>
          </w:p>
        </w:tc>
      </w:tr>
      <w:tr w14:paraId="7A6C7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6" w:type="dxa"/>
          </w:tcPr>
          <w:p w14:paraId="05718777">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营业成本（万元）</w:t>
            </w:r>
          </w:p>
        </w:tc>
        <w:tc>
          <w:tcPr>
            <w:tcW w:w="1096" w:type="dxa"/>
          </w:tcPr>
          <w:p w14:paraId="6F6684F1">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500</w:t>
            </w:r>
          </w:p>
        </w:tc>
        <w:tc>
          <w:tcPr>
            <w:tcW w:w="1096" w:type="dxa"/>
          </w:tcPr>
          <w:p w14:paraId="4B0711E7">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900</w:t>
            </w:r>
          </w:p>
        </w:tc>
        <w:tc>
          <w:tcPr>
            <w:tcW w:w="1016" w:type="dxa"/>
          </w:tcPr>
          <w:p w14:paraId="6946AA99">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1,800</w:t>
            </w:r>
          </w:p>
        </w:tc>
        <w:tc>
          <w:tcPr>
            <w:tcW w:w="1016" w:type="dxa"/>
          </w:tcPr>
          <w:p w14:paraId="570BAE0F">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3,500</w:t>
            </w:r>
          </w:p>
        </w:tc>
        <w:tc>
          <w:tcPr>
            <w:tcW w:w="1056" w:type="dxa"/>
          </w:tcPr>
          <w:p w14:paraId="762166AA">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7,000</w:t>
            </w:r>
          </w:p>
        </w:tc>
      </w:tr>
      <w:tr w14:paraId="08D6E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6" w:type="dxa"/>
          </w:tcPr>
          <w:p w14:paraId="2D8C7E03">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毛利润（万元）</w:t>
            </w:r>
          </w:p>
        </w:tc>
        <w:tc>
          <w:tcPr>
            <w:tcW w:w="1096" w:type="dxa"/>
          </w:tcPr>
          <w:p w14:paraId="01CB1721">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-120</w:t>
            </w:r>
          </w:p>
        </w:tc>
        <w:tc>
          <w:tcPr>
            <w:tcW w:w="1096" w:type="dxa"/>
          </w:tcPr>
          <w:p w14:paraId="6742FEE3">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300</w:t>
            </w:r>
          </w:p>
        </w:tc>
        <w:tc>
          <w:tcPr>
            <w:tcW w:w="1016" w:type="dxa"/>
          </w:tcPr>
          <w:p w14:paraId="103949A0">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1,700</w:t>
            </w:r>
          </w:p>
        </w:tc>
        <w:tc>
          <w:tcPr>
            <w:tcW w:w="1016" w:type="dxa"/>
          </w:tcPr>
          <w:p w14:paraId="00CA2C9C">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4,500</w:t>
            </w:r>
          </w:p>
        </w:tc>
        <w:tc>
          <w:tcPr>
            <w:tcW w:w="1056" w:type="dxa"/>
          </w:tcPr>
          <w:p w14:paraId="671E19F6">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13,000</w:t>
            </w:r>
          </w:p>
        </w:tc>
      </w:tr>
      <w:tr w14:paraId="63B96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6" w:type="dxa"/>
          </w:tcPr>
          <w:p w14:paraId="36BD83DA">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毛利率</w:t>
            </w:r>
          </w:p>
        </w:tc>
        <w:tc>
          <w:tcPr>
            <w:tcW w:w="1096" w:type="dxa"/>
          </w:tcPr>
          <w:p w14:paraId="1F78131F">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-31.6%</w:t>
            </w:r>
          </w:p>
        </w:tc>
        <w:tc>
          <w:tcPr>
            <w:tcW w:w="1096" w:type="dxa"/>
          </w:tcPr>
          <w:p w14:paraId="5C824654">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25.0%</w:t>
            </w:r>
          </w:p>
        </w:tc>
        <w:tc>
          <w:tcPr>
            <w:tcW w:w="1016" w:type="dxa"/>
          </w:tcPr>
          <w:p w14:paraId="0CD0FBF4">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48.6%</w:t>
            </w:r>
          </w:p>
        </w:tc>
        <w:tc>
          <w:tcPr>
            <w:tcW w:w="1016" w:type="dxa"/>
          </w:tcPr>
          <w:p w14:paraId="485E87A6">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56.3%</w:t>
            </w:r>
          </w:p>
        </w:tc>
        <w:tc>
          <w:tcPr>
            <w:tcW w:w="1056" w:type="dxa"/>
          </w:tcPr>
          <w:p w14:paraId="6D86B422">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65.0%</w:t>
            </w:r>
          </w:p>
        </w:tc>
      </w:tr>
      <w:tr w14:paraId="6D738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6" w:type="dxa"/>
          </w:tcPr>
          <w:p w14:paraId="5B5CC2D1">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净利润（万元）</w:t>
            </w:r>
          </w:p>
        </w:tc>
        <w:tc>
          <w:tcPr>
            <w:tcW w:w="1096" w:type="dxa"/>
          </w:tcPr>
          <w:p w14:paraId="10AABF2B">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-380</w:t>
            </w:r>
          </w:p>
        </w:tc>
        <w:tc>
          <w:tcPr>
            <w:tcW w:w="1096" w:type="dxa"/>
          </w:tcPr>
          <w:p w14:paraId="0174960A">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-200</w:t>
            </w:r>
          </w:p>
        </w:tc>
        <w:tc>
          <w:tcPr>
            <w:tcW w:w="1016" w:type="dxa"/>
          </w:tcPr>
          <w:p w14:paraId="70ACA0B2">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500</w:t>
            </w:r>
          </w:p>
        </w:tc>
        <w:tc>
          <w:tcPr>
            <w:tcW w:w="1016" w:type="dxa"/>
          </w:tcPr>
          <w:p w14:paraId="299DCD2B">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2,000</w:t>
            </w:r>
          </w:p>
        </w:tc>
        <w:tc>
          <w:tcPr>
            <w:tcW w:w="1056" w:type="dxa"/>
          </w:tcPr>
          <w:p w14:paraId="25D4BD6B">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6,500</w:t>
            </w:r>
          </w:p>
        </w:tc>
      </w:tr>
      <w:tr w14:paraId="5008C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6" w:type="dxa"/>
          </w:tcPr>
          <w:p w14:paraId="031D09CE">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净利率</w:t>
            </w:r>
          </w:p>
        </w:tc>
        <w:tc>
          <w:tcPr>
            <w:tcW w:w="1096" w:type="dxa"/>
          </w:tcPr>
          <w:p w14:paraId="0C0DCEEC">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-100%</w:t>
            </w:r>
          </w:p>
        </w:tc>
        <w:tc>
          <w:tcPr>
            <w:tcW w:w="1096" w:type="dxa"/>
          </w:tcPr>
          <w:p w14:paraId="08C7F83A">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-16.7%</w:t>
            </w:r>
          </w:p>
        </w:tc>
        <w:tc>
          <w:tcPr>
            <w:tcW w:w="1016" w:type="dxa"/>
          </w:tcPr>
          <w:p w14:paraId="7A8A6DEC">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14.3%</w:t>
            </w:r>
          </w:p>
        </w:tc>
        <w:tc>
          <w:tcPr>
            <w:tcW w:w="1016" w:type="dxa"/>
          </w:tcPr>
          <w:p w14:paraId="2BA7F5C4">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25.0%</w:t>
            </w:r>
          </w:p>
        </w:tc>
        <w:tc>
          <w:tcPr>
            <w:tcW w:w="1056" w:type="dxa"/>
          </w:tcPr>
          <w:p w14:paraId="658C3CE3">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32.5%</w:t>
            </w:r>
          </w:p>
        </w:tc>
      </w:tr>
    </w:tbl>
    <w:p w14:paraId="7B70F65A">
      <w:pPr>
        <w:pStyle w:val="4"/>
        <w:keepNext w:val="0"/>
        <w:keepLines w:val="0"/>
        <w:spacing w:before="0" w:after="0" w:line="480" w:lineRule="exact"/>
        <w:ind w:firstLine="482" w:firstLineChars="200"/>
        <w:rPr>
          <w:rFonts w:hint="eastAsia" w:ascii="宋体" w:hAnsi="宋体" w:eastAsia="宋体" w:cs="Times New Roman"/>
          <w:b/>
          <w:bCs/>
          <w:color w:val="auto"/>
          <w:kern w:val="0"/>
          <w:sz w:val="24"/>
          <w:szCs w:val="24"/>
        </w:rPr>
      </w:pPr>
      <w:bookmarkStart w:id="52" w:name="_Toc232355796"/>
      <w:r>
        <w:rPr>
          <w:rFonts w:hint="eastAsia" w:ascii="宋体" w:hAnsi="宋体" w:eastAsia="宋体" w:cs="Times New Roman"/>
          <w:b/>
          <w:bCs/>
          <w:color w:val="auto"/>
          <w:kern w:val="0"/>
          <w:sz w:val="24"/>
          <w:szCs w:val="24"/>
        </w:rPr>
        <w:t>4.6.3 投资回报分析</w:t>
      </w:r>
      <w:bookmarkEnd w:id="52"/>
    </w:p>
    <w:p w14:paraId="37A7DD85">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盈亏平衡点：预计在Year4年初实现盈亏平衡，累计净利润转正。</w:t>
      </w:r>
    </w:p>
    <w:p w14:paraId="3DEA16DA">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盈利能力：毛利率从Year1的-31.6%快速提升至Year5的65.0%，净利率Year3转正并达到14.3%，Year5升至32.5%，规模效应显著。</w:t>
      </w:r>
    </w:p>
    <w:p w14:paraId="587B7360">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投资人核心回报：以Year3末5x ARR估值计算，种子轮投资人未稀释退出回报约10.0x，对应IRR约115%；考虑后续融资稀释后，回报约6.7x，对应IRR约88%，远高于早期VC行业基准。</w:t>
      </w:r>
    </w:p>
    <w:p w14:paraId="1305FCF9">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抗风险能力：悲观情景下Year3收入仍达2500万元，覆盖全部变动成本，不会出现持续性大额亏损。</w:t>
      </w:r>
    </w:p>
    <w:p w14:paraId="67C6A0CA">
      <w:pPr>
        <w:pStyle w:val="3"/>
        <w:keepNext w:val="0"/>
        <w:keepLines w:val="0"/>
        <w:spacing w:before="0" w:after="0" w:line="480" w:lineRule="exact"/>
        <w:ind w:firstLine="480" w:firstLineChars="200"/>
        <w:rPr>
          <w:rFonts w:hint="eastAsia" w:ascii="宋体" w:hAnsi="宋体" w:eastAsia="宋体" w:cs="Times New Roman"/>
          <w:bCs/>
          <w:color w:val="auto"/>
          <w:kern w:val="0"/>
          <w:sz w:val="24"/>
          <w:szCs w:val="24"/>
        </w:rPr>
      </w:pPr>
      <w:bookmarkStart w:id="53" w:name="_Toc232355797"/>
      <w:r>
        <w:rPr>
          <w:rFonts w:hint="eastAsia" w:ascii="宋体" w:hAnsi="宋体" w:eastAsia="宋体" w:cs="Times New Roman"/>
          <w:bCs/>
          <w:color w:val="auto"/>
          <w:kern w:val="0"/>
          <w:sz w:val="24"/>
          <w:szCs w:val="24"/>
        </w:rPr>
        <w:t>4.7 融资规划</w:t>
      </w:r>
      <w:bookmarkEnd w:id="53"/>
    </w:p>
    <w:p w14:paraId="4A135866">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融资轮次、金额、时间与资金用途规划方案：</w:t>
      </w:r>
    </w:p>
    <w:p w14:paraId="633313EC">
      <w:pPr>
        <w:pStyle w:val="12"/>
        <w:keepNext/>
        <w:ind w:firstLine="480" w:firstLineChars="200"/>
        <w:rPr>
          <w:rFonts w:hint="eastAsia" w:ascii="宋体" w:hAnsi="宋体" w:eastAsia="宋体"/>
          <w:sz w:val="24"/>
          <w:szCs w:val="24"/>
        </w:rPr>
      </w:pPr>
      <w:r>
        <w:rPr>
          <w:rFonts w:hint="eastAsia" w:ascii="宋体" w:hAnsi="宋体" w:eastAsia="宋体"/>
          <w:sz w:val="24"/>
          <w:szCs w:val="24"/>
        </w:rPr>
        <w:t xml:space="preserve">表 </w:t>
      </w:r>
      <w:r>
        <w:rPr>
          <w:rFonts w:hint="eastAsia" w:ascii="宋体" w:hAnsi="宋体" w:eastAsia="宋体"/>
          <w:sz w:val="24"/>
          <w:szCs w:val="24"/>
        </w:rPr>
        <w:fldChar w:fldCharType="begin"/>
      </w:r>
      <w:r>
        <w:rPr>
          <w:rFonts w:hint="eastAsia" w:ascii="宋体" w:hAnsi="宋体" w:eastAsia="宋体"/>
          <w:sz w:val="24"/>
          <w:szCs w:val="24"/>
        </w:rPr>
        <w:instrText xml:space="preserve"> SEQ 表 \* ARABIC </w:instrText>
      </w:r>
      <w:r>
        <w:rPr>
          <w:rFonts w:hint="eastAsia" w:ascii="宋体" w:hAnsi="宋体" w:eastAsia="宋体"/>
          <w:sz w:val="24"/>
          <w:szCs w:val="24"/>
        </w:rPr>
        <w:fldChar w:fldCharType="separate"/>
      </w:r>
      <w:r>
        <w:rPr>
          <w:rFonts w:hint="eastAsia" w:ascii="宋体" w:hAnsi="宋体" w:eastAsia="宋体"/>
          <w:sz w:val="24"/>
          <w:szCs w:val="24"/>
        </w:rPr>
        <w:t>6</w:t>
      </w:r>
      <w:r>
        <w:rPr>
          <w:rFonts w:hint="eastAsia" w:ascii="宋体" w:hAnsi="宋体" w:eastAsia="宋体"/>
          <w:sz w:val="24"/>
          <w:szCs w:val="24"/>
        </w:rPr>
        <w:fldChar w:fldCharType="end"/>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6"/>
        <w:gridCol w:w="1476"/>
        <w:gridCol w:w="1116"/>
        <w:gridCol w:w="996"/>
        <w:gridCol w:w="1701"/>
        <w:gridCol w:w="1997"/>
      </w:tblGrid>
      <w:tr w14:paraId="20888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2" w:type="pct"/>
          </w:tcPr>
          <w:p w14:paraId="399040E4">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轮次</w:t>
            </w:r>
          </w:p>
        </w:tc>
        <w:tc>
          <w:tcPr>
            <w:tcW w:w="535" w:type="pct"/>
          </w:tcPr>
          <w:p w14:paraId="6E1643D7">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时间</w:t>
            </w:r>
          </w:p>
        </w:tc>
        <w:tc>
          <w:tcPr>
            <w:tcW w:w="616" w:type="pct"/>
          </w:tcPr>
          <w:p w14:paraId="67358737">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融资金额</w:t>
            </w:r>
          </w:p>
        </w:tc>
        <w:tc>
          <w:tcPr>
            <w:tcW w:w="590" w:type="pct"/>
          </w:tcPr>
          <w:p w14:paraId="0B91296B">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出让股权</w:t>
            </w:r>
          </w:p>
        </w:tc>
        <w:tc>
          <w:tcPr>
            <w:tcW w:w="1354" w:type="pct"/>
          </w:tcPr>
          <w:p w14:paraId="5AEE9894">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资金用途</w:t>
            </w:r>
          </w:p>
        </w:tc>
        <w:tc>
          <w:tcPr>
            <w:tcW w:w="1354" w:type="pct"/>
          </w:tcPr>
          <w:p w14:paraId="0E605423">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核心里程碑</w:t>
            </w:r>
          </w:p>
        </w:tc>
      </w:tr>
      <w:tr w14:paraId="23916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2" w:type="pct"/>
          </w:tcPr>
          <w:p w14:paraId="315E429E">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种子轮</w:t>
            </w:r>
          </w:p>
        </w:tc>
        <w:tc>
          <w:tcPr>
            <w:tcW w:w="535" w:type="pct"/>
          </w:tcPr>
          <w:p w14:paraId="082E6930">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2026.Q3</w:t>
            </w:r>
          </w:p>
        </w:tc>
        <w:tc>
          <w:tcPr>
            <w:tcW w:w="616" w:type="pct"/>
          </w:tcPr>
          <w:p w14:paraId="77861C58">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100万元</w:t>
            </w:r>
          </w:p>
        </w:tc>
        <w:tc>
          <w:tcPr>
            <w:tcW w:w="590" w:type="pct"/>
          </w:tcPr>
          <w:p w14:paraId="6EFA47DD">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10%</w:t>
            </w:r>
          </w:p>
        </w:tc>
        <w:tc>
          <w:tcPr>
            <w:tcW w:w="1354" w:type="pct"/>
          </w:tcPr>
          <w:p w14:paraId="12A3D8B5">
            <w:pPr>
              <w:spacing w:line="480" w:lineRule="exact"/>
              <w:ind w:firstLine="480" w:firstLineChars="200"/>
              <w:rPr>
                <w:rFonts w:hint="eastAsia" w:ascii="宋体" w:hAnsi="宋体" w:eastAsia="宋体"/>
                <w:sz w:val="24"/>
                <w:szCs w:val="24"/>
                <w14:ligatures w14:val="none"/>
              </w:rPr>
            </w:pPr>
            <w:r>
              <w:rPr>
                <w:rFonts w:ascii="宋体" w:hAnsi="宋体" w:eastAsia="宋体"/>
                <w:sz w:val="24"/>
                <w:szCs w:val="24"/>
                <w14:ligatures w14:val="none"/>
              </w:rPr>
              <w:t>MVP开发、周边打样、种子用户运营</w:t>
            </w:r>
          </w:p>
        </w:tc>
        <w:tc>
          <w:tcPr>
            <w:tcW w:w="1354" w:type="pct"/>
          </w:tcPr>
          <w:p w14:paraId="32BD4F21">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MVP上线+50名内测用户</w:t>
            </w:r>
          </w:p>
        </w:tc>
      </w:tr>
      <w:tr w14:paraId="4DF28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2" w:type="pct"/>
          </w:tcPr>
          <w:p w14:paraId="1B51AF84">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天使轮</w:t>
            </w:r>
          </w:p>
        </w:tc>
        <w:tc>
          <w:tcPr>
            <w:tcW w:w="535" w:type="pct"/>
          </w:tcPr>
          <w:p w14:paraId="27C7164C">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2027.Q1</w:t>
            </w:r>
          </w:p>
        </w:tc>
        <w:tc>
          <w:tcPr>
            <w:tcW w:w="616" w:type="pct"/>
          </w:tcPr>
          <w:p w14:paraId="1BAF360E">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500万元</w:t>
            </w:r>
          </w:p>
        </w:tc>
        <w:tc>
          <w:tcPr>
            <w:tcW w:w="590" w:type="pct"/>
          </w:tcPr>
          <w:p w14:paraId="2BB985C3">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15%</w:t>
            </w:r>
          </w:p>
        </w:tc>
        <w:tc>
          <w:tcPr>
            <w:tcW w:w="1354" w:type="pct"/>
          </w:tcPr>
          <w:p w14:paraId="074D590B">
            <w:pPr>
              <w:spacing w:line="480" w:lineRule="exact"/>
              <w:ind w:firstLine="480" w:firstLineChars="200"/>
              <w:rPr>
                <w:rFonts w:hint="eastAsia" w:ascii="宋体" w:hAnsi="宋体" w:eastAsia="宋体"/>
                <w:sz w:val="24"/>
                <w:szCs w:val="24"/>
                <w14:ligatures w14:val="none"/>
              </w:rPr>
            </w:pPr>
            <w:r>
              <w:rPr>
                <w:rFonts w:ascii="宋体" w:hAnsi="宋体" w:eastAsia="宋体"/>
                <w:sz w:val="24"/>
                <w:szCs w:val="24"/>
                <w14:ligatures w14:val="none"/>
              </w:rPr>
              <w:t>产品迭代、团队扩充、市场推广</w:t>
            </w:r>
          </w:p>
        </w:tc>
        <w:tc>
          <w:tcPr>
            <w:tcW w:w="1354" w:type="pct"/>
          </w:tcPr>
          <w:p w14:paraId="3D5DAE3F">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1万用户+10所高校合作</w:t>
            </w:r>
          </w:p>
        </w:tc>
      </w:tr>
      <w:tr w14:paraId="1DC99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2" w:type="pct"/>
          </w:tcPr>
          <w:p w14:paraId="6CA5A134">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Pre-A轮</w:t>
            </w:r>
          </w:p>
        </w:tc>
        <w:tc>
          <w:tcPr>
            <w:tcW w:w="535" w:type="pct"/>
          </w:tcPr>
          <w:p w14:paraId="29263B5B">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2027.Q4</w:t>
            </w:r>
          </w:p>
        </w:tc>
        <w:tc>
          <w:tcPr>
            <w:tcW w:w="616" w:type="pct"/>
          </w:tcPr>
          <w:p w14:paraId="3ABFE874">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1500万元</w:t>
            </w:r>
          </w:p>
        </w:tc>
        <w:tc>
          <w:tcPr>
            <w:tcW w:w="590" w:type="pct"/>
          </w:tcPr>
          <w:p w14:paraId="6F456E2C">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12%</w:t>
            </w:r>
          </w:p>
        </w:tc>
        <w:tc>
          <w:tcPr>
            <w:tcW w:w="1354" w:type="pct"/>
          </w:tcPr>
          <w:p w14:paraId="55A08B7D">
            <w:pPr>
              <w:spacing w:line="480" w:lineRule="exact"/>
              <w:ind w:firstLine="480" w:firstLineChars="200"/>
              <w:rPr>
                <w:rFonts w:hint="eastAsia" w:ascii="宋体" w:hAnsi="宋体" w:eastAsia="宋体"/>
                <w:sz w:val="24"/>
                <w:szCs w:val="24"/>
                <w14:ligatures w14:val="none"/>
              </w:rPr>
            </w:pPr>
            <w:r>
              <w:rPr>
                <w:rFonts w:ascii="宋体" w:hAnsi="宋体" w:eastAsia="宋体"/>
                <w:sz w:val="24"/>
                <w:szCs w:val="24"/>
                <w14:ligatures w14:val="none"/>
              </w:rPr>
              <w:t>硬件量产、B端拓展、品牌建设</w:t>
            </w:r>
          </w:p>
        </w:tc>
        <w:tc>
          <w:tcPr>
            <w:tcW w:w="1354" w:type="pct"/>
          </w:tcPr>
          <w:p w14:paraId="0B141DD8">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实现盈亏平衡</w:t>
            </w:r>
          </w:p>
        </w:tc>
      </w:tr>
      <w:tr w14:paraId="4F746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2" w:type="pct"/>
          </w:tcPr>
          <w:p w14:paraId="5A80A521">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A轮</w:t>
            </w:r>
          </w:p>
        </w:tc>
        <w:tc>
          <w:tcPr>
            <w:tcW w:w="535" w:type="pct"/>
          </w:tcPr>
          <w:p w14:paraId="144BBACF">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2028.Q4</w:t>
            </w:r>
          </w:p>
        </w:tc>
        <w:tc>
          <w:tcPr>
            <w:tcW w:w="616" w:type="pct"/>
          </w:tcPr>
          <w:p w14:paraId="384A462E">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5000万元</w:t>
            </w:r>
          </w:p>
        </w:tc>
        <w:tc>
          <w:tcPr>
            <w:tcW w:w="590" w:type="pct"/>
          </w:tcPr>
          <w:p w14:paraId="14732848">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10%</w:t>
            </w:r>
          </w:p>
        </w:tc>
        <w:tc>
          <w:tcPr>
            <w:tcW w:w="1354" w:type="pct"/>
          </w:tcPr>
          <w:p w14:paraId="20DD1645">
            <w:pPr>
              <w:spacing w:line="480" w:lineRule="exact"/>
              <w:ind w:firstLine="480" w:firstLineChars="200"/>
              <w:rPr>
                <w:rFonts w:hint="eastAsia" w:ascii="宋体" w:hAnsi="宋体" w:eastAsia="宋体"/>
                <w:sz w:val="24"/>
                <w:szCs w:val="24"/>
                <w14:ligatures w14:val="none"/>
              </w:rPr>
            </w:pPr>
            <w:r>
              <w:rPr>
                <w:rFonts w:ascii="宋体" w:hAnsi="宋体" w:eastAsia="宋体"/>
                <w:sz w:val="24"/>
                <w:szCs w:val="24"/>
                <w14:ligatures w14:val="none"/>
              </w:rPr>
              <w:t>规模化扩张、技术升级、生态构建</w:t>
            </w:r>
          </w:p>
        </w:tc>
        <w:tc>
          <w:tcPr>
            <w:tcW w:w="1354" w:type="pct"/>
          </w:tcPr>
          <w:p w14:paraId="5CAC0CD0">
            <w:pPr>
              <w:spacing w:line="480" w:lineRule="exact"/>
              <w:ind w:firstLine="480" w:firstLineChars="200"/>
              <w:rPr>
                <w:rFonts w:hint="eastAsia" w:ascii="宋体" w:hAnsi="宋体" w:eastAsia="宋体"/>
                <w:sz w:val="24"/>
                <w:szCs w:val="24"/>
                <w14:ligatures w14:val="none"/>
              </w:rPr>
            </w:pPr>
            <w:r>
              <w:rPr>
                <w:rFonts w:hint="eastAsia" w:ascii="宋体" w:hAnsi="宋体" w:eastAsia="宋体"/>
                <w:sz w:val="24"/>
                <w:szCs w:val="24"/>
                <w14:ligatures w14:val="none"/>
              </w:rPr>
              <w:t>100万用户</w:t>
            </w:r>
          </w:p>
        </w:tc>
      </w:tr>
    </w:tbl>
    <w:p w14:paraId="3F9874C7">
      <w:pPr>
        <w:pStyle w:val="4"/>
        <w:keepNext w:val="0"/>
        <w:keepLines w:val="0"/>
        <w:spacing w:before="0" w:after="0" w:line="480" w:lineRule="exact"/>
        <w:ind w:firstLine="482" w:firstLineChars="200"/>
        <w:rPr>
          <w:rFonts w:hint="eastAsia" w:ascii="宋体" w:hAnsi="宋体" w:eastAsia="宋体" w:cs="Times New Roman"/>
          <w:b/>
          <w:bCs/>
          <w:color w:val="auto"/>
          <w:kern w:val="0"/>
          <w:sz w:val="24"/>
          <w:szCs w:val="24"/>
        </w:rPr>
      </w:pPr>
      <w:bookmarkStart w:id="54" w:name="_Toc232355798"/>
      <w:r>
        <w:rPr>
          <w:rFonts w:hint="eastAsia" w:ascii="宋体" w:hAnsi="宋体" w:eastAsia="宋体" w:cs="Times New Roman"/>
          <w:b/>
          <w:bCs/>
          <w:color w:val="auto"/>
          <w:kern w:val="0"/>
          <w:sz w:val="24"/>
          <w:szCs w:val="24"/>
        </w:rPr>
        <w:t>4.7.1 种子轮资金详细预算（100万元）</w:t>
      </w:r>
      <w:bookmarkEnd w:id="54"/>
    </w:p>
    <w:p w14:paraId="56C4D9DF">
      <w:pPr>
        <w:pStyle w:val="12"/>
        <w:keepNext/>
        <w:ind w:firstLine="480" w:firstLineChars="200"/>
        <w:rPr>
          <w:rFonts w:hint="eastAsia" w:ascii="宋体" w:hAnsi="宋体" w:eastAsia="宋体"/>
          <w:sz w:val="24"/>
          <w:szCs w:val="24"/>
        </w:rPr>
      </w:pPr>
      <w:r>
        <w:rPr>
          <w:rFonts w:hint="eastAsia" w:ascii="宋体" w:hAnsi="宋体" w:eastAsia="宋体"/>
          <w:sz w:val="24"/>
          <w:szCs w:val="24"/>
        </w:rPr>
        <w:t xml:space="preserve">表 </w:t>
      </w:r>
      <w:r>
        <w:rPr>
          <w:rFonts w:hint="eastAsia" w:ascii="宋体" w:hAnsi="宋体" w:eastAsia="宋体"/>
          <w:sz w:val="24"/>
          <w:szCs w:val="24"/>
        </w:rPr>
        <w:fldChar w:fldCharType="begin"/>
      </w:r>
      <w:r>
        <w:rPr>
          <w:rFonts w:hint="eastAsia" w:ascii="宋体" w:hAnsi="宋体" w:eastAsia="宋体"/>
          <w:sz w:val="24"/>
          <w:szCs w:val="24"/>
        </w:rPr>
        <w:instrText xml:space="preserve"> SEQ 表 \* ARABIC </w:instrText>
      </w:r>
      <w:r>
        <w:rPr>
          <w:rFonts w:hint="eastAsia" w:ascii="宋体" w:hAnsi="宋体" w:eastAsia="宋体"/>
          <w:sz w:val="24"/>
          <w:szCs w:val="24"/>
        </w:rPr>
        <w:fldChar w:fldCharType="separate"/>
      </w:r>
      <w:r>
        <w:rPr>
          <w:rFonts w:hint="eastAsia" w:ascii="宋体" w:hAnsi="宋体" w:eastAsia="宋体"/>
          <w:sz w:val="24"/>
          <w:szCs w:val="24"/>
        </w:rPr>
        <w:t>7</w:t>
      </w:r>
      <w:r>
        <w:rPr>
          <w:rFonts w:hint="eastAsia" w:ascii="宋体" w:hAnsi="宋体" w:eastAsia="宋体"/>
          <w:sz w:val="24"/>
          <w:szCs w:val="24"/>
        </w:rPr>
        <w:fldChar w:fldCharType="end"/>
      </w:r>
    </w:p>
    <w:tbl>
      <w:tblPr>
        <w:tblStyle w:val="48"/>
        <w:tblW w:w="5000" w:type="pct"/>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04"/>
        <w:gridCol w:w="2061"/>
        <w:gridCol w:w="1357"/>
      </w:tblGrid>
      <w:tr w14:paraId="49AD466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2995" w:type="pct"/>
            <w:tcBorders>
              <w:bottom w:val="single" w:color="7E7E7E" w:themeColor="text1" w:themeTint="80" w:sz="4" w:space="0"/>
              <w:insideH w:val="single" w:sz="4" w:space="0"/>
            </w:tcBorders>
          </w:tcPr>
          <w:p w14:paraId="58E72936">
            <w:pPr>
              <w:ind w:firstLine="482" w:firstLineChars="200"/>
              <w:rPr>
                <w:rFonts w:hint="eastAsia" w:ascii="宋体" w:hAnsi="宋体" w:eastAsia="宋体"/>
                <w:b w:val="0"/>
                <w:bCs w:val="0"/>
                <w:sz w:val="24"/>
                <w:szCs w:val="24"/>
                <w14:ligatures w14:val="standardContextual"/>
              </w:rPr>
            </w:pPr>
            <w:r>
              <w:rPr>
                <w:rFonts w:hint="eastAsia" w:ascii="宋体" w:hAnsi="宋体" w:eastAsia="宋体"/>
                <w:b/>
                <w:bCs/>
                <w:sz w:val="24"/>
                <w:szCs w:val="24"/>
                <w14:ligatures w14:val="standardContextual"/>
              </w:rPr>
              <w:t>预算项目</w:t>
            </w:r>
          </w:p>
        </w:tc>
        <w:tc>
          <w:tcPr>
            <w:tcW w:w="1209" w:type="pct"/>
            <w:tcBorders>
              <w:bottom w:val="single" w:color="7E7E7E" w:themeColor="text1" w:themeTint="80" w:sz="4" w:space="0"/>
              <w:insideH w:val="single" w:sz="4" w:space="0"/>
            </w:tcBorders>
          </w:tcPr>
          <w:p w14:paraId="3724D75B">
            <w:pPr>
              <w:ind w:firstLine="482" w:firstLineChars="200"/>
              <w:rPr>
                <w:rFonts w:hint="eastAsia" w:ascii="宋体" w:hAnsi="宋体" w:eastAsia="宋体"/>
                <w:b w:val="0"/>
                <w:bCs w:val="0"/>
                <w:sz w:val="24"/>
                <w:szCs w:val="24"/>
                <w14:ligatures w14:val="standardContextual"/>
              </w:rPr>
            </w:pPr>
            <w:r>
              <w:rPr>
                <w:rFonts w:hint="eastAsia" w:ascii="宋体" w:hAnsi="宋体" w:eastAsia="宋体"/>
                <w:b/>
                <w:bCs/>
                <w:sz w:val="24"/>
                <w:szCs w:val="24"/>
                <w14:ligatures w14:val="standardContextual"/>
              </w:rPr>
              <w:t>金额</w:t>
            </w:r>
          </w:p>
        </w:tc>
        <w:tc>
          <w:tcPr>
            <w:tcW w:w="797" w:type="pct"/>
            <w:tcBorders>
              <w:bottom w:val="single" w:color="7E7E7E" w:themeColor="text1" w:themeTint="80" w:sz="4" w:space="0"/>
              <w:insideH w:val="single" w:sz="4" w:space="0"/>
            </w:tcBorders>
          </w:tcPr>
          <w:p w14:paraId="1B6696A0">
            <w:pPr>
              <w:ind w:firstLine="482" w:firstLineChars="200"/>
              <w:rPr>
                <w:rFonts w:hint="eastAsia" w:ascii="宋体" w:hAnsi="宋体" w:eastAsia="宋体"/>
                <w:b w:val="0"/>
                <w:bCs w:val="0"/>
                <w:sz w:val="24"/>
                <w:szCs w:val="24"/>
                <w14:ligatures w14:val="standardContextual"/>
              </w:rPr>
            </w:pPr>
            <w:r>
              <w:rPr>
                <w:rFonts w:hint="eastAsia" w:ascii="宋体" w:hAnsi="宋体" w:eastAsia="宋体"/>
                <w:b/>
                <w:bCs/>
                <w:sz w:val="24"/>
                <w:szCs w:val="24"/>
                <w14:ligatures w14:val="standardContextual"/>
              </w:rPr>
              <w:t>占比</w:t>
            </w:r>
          </w:p>
        </w:tc>
      </w:tr>
      <w:tr w14:paraId="686D0B8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2995" w:type="pct"/>
            <w:tcBorders>
              <w:top w:val="single" w:color="7E7E7E" w:themeColor="text1" w:themeTint="80" w:sz="4" w:space="0"/>
              <w:bottom w:val="single" w:color="7E7E7E" w:themeColor="text1" w:themeTint="80" w:sz="4" w:space="0"/>
            </w:tcBorders>
          </w:tcPr>
          <w:p w14:paraId="17739652">
            <w:pPr>
              <w:ind w:firstLine="482" w:firstLineChars="200"/>
              <w:rPr>
                <w:rFonts w:hint="eastAsia" w:ascii="宋体" w:hAnsi="宋体" w:eastAsia="宋体"/>
                <w:b w:val="0"/>
                <w:bCs w:val="0"/>
                <w:sz w:val="24"/>
                <w:szCs w:val="24"/>
                <w14:ligatures w14:val="standardContextual"/>
              </w:rPr>
            </w:pPr>
            <w:r>
              <w:rPr>
                <w:rFonts w:hint="eastAsia" w:ascii="宋体" w:hAnsi="宋体" w:eastAsia="宋体"/>
                <w:b/>
                <w:bCs/>
                <w:sz w:val="24"/>
                <w:szCs w:val="24"/>
                <w14:ligatures w14:val="standardContextual"/>
              </w:rPr>
              <w:t>核心硬件采购</w:t>
            </w:r>
          </w:p>
        </w:tc>
        <w:tc>
          <w:tcPr>
            <w:tcW w:w="1209" w:type="pct"/>
            <w:tcBorders>
              <w:top w:val="single" w:color="7E7E7E" w:themeColor="text1" w:themeTint="80" w:sz="4" w:space="0"/>
              <w:bottom w:val="single" w:color="7E7E7E" w:themeColor="text1" w:themeTint="80" w:sz="4" w:space="0"/>
            </w:tcBorders>
          </w:tcPr>
          <w:p w14:paraId="485A8FA5">
            <w:pPr>
              <w:ind w:firstLine="480" w:firstLineChars="200"/>
              <w:rPr>
                <w:rFonts w:hint="eastAsia" w:ascii="宋体" w:hAnsi="宋体" w:eastAsia="宋体"/>
                <w:sz w:val="24"/>
                <w:szCs w:val="24"/>
                <w14:ligatures w14:val="standardContextual"/>
              </w:rPr>
            </w:pPr>
            <w:r>
              <w:rPr>
                <w:rFonts w:hint="eastAsia" w:ascii="宋体" w:hAnsi="宋体" w:eastAsia="宋体"/>
                <w:sz w:val="24"/>
                <w:szCs w:val="24"/>
                <w14:ligatures w14:val="standardContextual"/>
              </w:rPr>
              <w:t>15 万元</w:t>
            </w:r>
          </w:p>
        </w:tc>
        <w:tc>
          <w:tcPr>
            <w:tcW w:w="797" w:type="pct"/>
            <w:tcBorders>
              <w:top w:val="single" w:color="7E7E7E" w:themeColor="text1" w:themeTint="80" w:sz="4" w:space="0"/>
              <w:bottom w:val="single" w:color="7E7E7E" w:themeColor="text1" w:themeTint="80" w:sz="4" w:space="0"/>
            </w:tcBorders>
          </w:tcPr>
          <w:p w14:paraId="55458E33">
            <w:pPr>
              <w:ind w:firstLine="480" w:firstLineChars="200"/>
              <w:rPr>
                <w:rFonts w:hint="eastAsia" w:ascii="宋体" w:hAnsi="宋体" w:eastAsia="宋体"/>
                <w:sz w:val="24"/>
                <w:szCs w:val="24"/>
                <w14:ligatures w14:val="standardContextual"/>
              </w:rPr>
            </w:pPr>
            <w:r>
              <w:rPr>
                <w:rFonts w:hint="eastAsia" w:ascii="宋体" w:hAnsi="宋体" w:eastAsia="宋体"/>
                <w:sz w:val="24"/>
                <w:szCs w:val="24"/>
                <w14:ligatures w14:val="standardContextual"/>
              </w:rPr>
              <w:t>15%</w:t>
            </w:r>
          </w:p>
        </w:tc>
      </w:tr>
      <w:tr w14:paraId="41307BE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2995" w:type="pct"/>
          </w:tcPr>
          <w:p w14:paraId="3A5FFB15">
            <w:pPr>
              <w:ind w:firstLine="482" w:firstLineChars="200"/>
              <w:rPr>
                <w:rFonts w:hint="eastAsia" w:ascii="宋体" w:hAnsi="宋体" w:eastAsia="宋体"/>
                <w:b w:val="0"/>
                <w:bCs w:val="0"/>
                <w:sz w:val="24"/>
                <w:szCs w:val="24"/>
                <w14:ligatures w14:val="standardContextual"/>
              </w:rPr>
            </w:pPr>
            <w:r>
              <w:rPr>
                <w:rFonts w:hint="eastAsia" w:ascii="宋体" w:hAnsi="宋体" w:eastAsia="宋体"/>
                <w:b/>
                <w:bCs/>
                <w:sz w:val="24"/>
                <w:szCs w:val="24"/>
                <w14:ligatures w14:val="standardContextual"/>
              </w:rPr>
              <w:t>云服务基础设施</w:t>
            </w:r>
          </w:p>
        </w:tc>
        <w:tc>
          <w:tcPr>
            <w:tcW w:w="1209" w:type="pct"/>
          </w:tcPr>
          <w:p w14:paraId="0F302195">
            <w:pPr>
              <w:ind w:firstLine="480" w:firstLineChars="200"/>
              <w:rPr>
                <w:rFonts w:hint="eastAsia" w:ascii="宋体" w:hAnsi="宋体" w:eastAsia="宋体"/>
                <w:sz w:val="24"/>
                <w:szCs w:val="24"/>
                <w14:ligatures w14:val="standardContextual"/>
              </w:rPr>
            </w:pPr>
            <w:r>
              <w:rPr>
                <w:rFonts w:hint="eastAsia" w:ascii="宋体" w:hAnsi="宋体" w:eastAsia="宋体"/>
                <w:sz w:val="24"/>
                <w:szCs w:val="24"/>
                <w14:ligatures w14:val="standardContextual"/>
              </w:rPr>
              <w:t>10 万元</w:t>
            </w:r>
          </w:p>
        </w:tc>
        <w:tc>
          <w:tcPr>
            <w:tcW w:w="797" w:type="pct"/>
          </w:tcPr>
          <w:p w14:paraId="44851982">
            <w:pPr>
              <w:ind w:firstLine="480" w:firstLineChars="200"/>
              <w:rPr>
                <w:rFonts w:hint="eastAsia" w:ascii="宋体" w:hAnsi="宋体" w:eastAsia="宋体"/>
                <w:sz w:val="24"/>
                <w:szCs w:val="24"/>
                <w14:ligatures w14:val="standardContextual"/>
              </w:rPr>
            </w:pPr>
            <w:r>
              <w:rPr>
                <w:rFonts w:hint="eastAsia" w:ascii="宋体" w:hAnsi="宋体" w:eastAsia="宋体"/>
                <w:sz w:val="24"/>
                <w:szCs w:val="24"/>
                <w14:ligatures w14:val="standardContextual"/>
              </w:rPr>
              <w:t>10%</w:t>
            </w:r>
          </w:p>
        </w:tc>
      </w:tr>
      <w:tr w14:paraId="5FB2D74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2995" w:type="pct"/>
            <w:tcBorders>
              <w:top w:val="single" w:color="7E7E7E" w:themeColor="text1" w:themeTint="80" w:sz="4" w:space="0"/>
              <w:bottom w:val="single" w:color="7E7E7E" w:themeColor="text1" w:themeTint="80" w:sz="4" w:space="0"/>
            </w:tcBorders>
          </w:tcPr>
          <w:p w14:paraId="7C0E0111">
            <w:pPr>
              <w:ind w:firstLine="482" w:firstLineChars="200"/>
              <w:rPr>
                <w:rFonts w:hint="eastAsia" w:ascii="宋体" w:hAnsi="宋体" w:eastAsia="宋体"/>
                <w:b w:val="0"/>
                <w:bCs w:val="0"/>
                <w:sz w:val="24"/>
                <w:szCs w:val="24"/>
                <w14:ligatures w14:val="standardContextual"/>
              </w:rPr>
            </w:pPr>
            <w:r>
              <w:rPr>
                <w:rFonts w:hint="eastAsia" w:ascii="宋体" w:hAnsi="宋体" w:eastAsia="宋体"/>
                <w:b/>
                <w:bCs/>
                <w:sz w:val="24"/>
                <w:szCs w:val="24"/>
                <w14:ligatures w14:val="standardContextual"/>
              </w:rPr>
              <w:t>Logo 设计 + 周边打样</w:t>
            </w:r>
          </w:p>
        </w:tc>
        <w:tc>
          <w:tcPr>
            <w:tcW w:w="1209" w:type="pct"/>
            <w:tcBorders>
              <w:top w:val="single" w:color="7E7E7E" w:themeColor="text1" w:themeTint="80" w:sz="4" w:space="0"/>
              <w:bottom w:val="single" w:color="7E7E7E" w:themeColor="text1" w:themeTint="80" w:sz="4" w:space="0"/>
            </w:tcBorders>
          </w:tcPr>
          <w:p w14:paraId="404BD333">
            <w:pPr>
              <w:ind w:firstLine="480" w:firstLineChars="200"/>
              <w:rPr>
                <w:rFonts w:hint="eastAsia" w:ascii="宋体" w:hAnsi="宋体" w:eastAsia="宋体"/>
                <w:sz w:val="24"/>
                <w:szCs w:val="24"/>
                <w14:ligatures w14:val="standardContextual"/>
              </w:rPr>
            </w:pPr>
            <w:r>
              <w:rPr>
                <w:rFonts w:hint="eastAsia" w:ascii="宋体" w:hAnsi="宋体" w:eastAsia="宋体"/>
                <w:sz w:val="24"/>
                <w:szCs w:val="24"/>
                <w14:ligatures w14:val="standardContextual"/>
              </w:rPr>
              <w:t>8 万元</w:t>
            </w:r>
          </w:p>
        </w:tc>
        <w:tc>
          <w:tcPr>
            <w:tcW w:w="797" w:type="pct"/>
            <w:tcBorders>
              <w:top w:val="single" w:color="7E7E7E" w:themeColor="text1" w:themeTint="80" w:sz="4" w:space="0"/>
              <w:bottom w:val="single" w:color="7E7E7E" w:themeColor="text1" w:themeTint="80" w:sz="4" w:space="0"/>
            </w:tcBorders>
          </w:tcPr>
          <w:p w14:paraId="37F22644">
            <w:pPr>
              <w:ind w:firstLine="480" w:firstLineChars="200"/>
              <w:rPr>
                <w:rFonts w:hint="eastAsia" w:ascii="宋体" w:hAnsi="宋体" w:eastAsia="宋体"/>
                <w:sz w:val="24"/>
                <w:szCs w:val="24"/>
                <w14:ligatures w14:val="standardContextual"/>
              </w:rPr>
            </w:pPr>
            <w:r>
              <w:rPr>
                <w:rFonts w:hint="eastAsia" w:ascii="宋体" w:hAnsi="宋体" w:eastAsia="宋体"/>
                <w:sz w:val="24"/>
                <w:szCs w:val="24"/>
                <w14:ligatures w14:val="standardContextual"/>
              </w:rPr>
              <w:t>8%</w:t>
            </w:r>
          </w:p>
        </w:tc>
      </w:tr>
      <w:tr w14:paraId="24A8B7F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2995" w:type="pct"/>
          </w:tcPr>
          <w:p w14:paraId="6AF9405D">
            <w:pPr>
              <w:ind w:firstLine="482" w:firstLineChars="200"/>
              <w:rPr>
                <w:rFonts w:hint="eastAsia" w:ascii="宋体" w:hAnsi="宋体" w:eastAsia="宋体"/>
                <w:b w:val="0"/>
                <w:bCs w:val="0"/>
                <w:sz w:val="24"/>
                <w:szCs w:val="24"/>
                <w14:ligatures w14:val="standardContextual"/>
              </w:rPr>
            </w:pPr>
            <w:r>
              <w:rPr>
                <w:rFonts w:hint="eastAsia" w:ascii="宋体" w:hAnsi="宋体" w:eastAsia="宋体"/>
                <w:b/>
                <w:bCs/>
                <w:sz w:val="24"/>
                <w:szCs w:val="24"/>
                <w14:ligatures w14:val="standardContextual"/>
              </w:rPr>
              <w:t>首批周边量产</w:t>
            </w:r>
          </w:p>
        </w:tc>
        <w:tc>
          <w:tcPr>
            <w:tcW w:w="1209" w:type="pct"/>
          </w:tcPr>
          <w:p w14:paraId="772728DE">
            <w:pPr>
              <w:ind w:firstLine="480" w:firstLineChars="200"/>
              <w:rPr>
                <w:rFonts w:hint="eastAsia" w:ascii="宋体" w:hAnsi="宋体" w:eastAsia="宋体"/>
                <w:sz w:val="24"/>
                <w:szCs w:val="24"/>
                <w14:ligatures w14:val="standardContextual"/>
              </w:rPr>
            </w:pPr>
            <w:r>
              <w:rPr>
                <w:rFonts w:hint="eastAsia" w:ascii="宋体" w:hAnsi="宋体" w:eastAsia="宋体"/>
                <w:sz w:val="24"/>
                <w:szCs w:val="24"/>
                <w14:ligatures w14:val="standardContextual"/>
              </w:rPr>
              <w:t>12 万元</w:t>
            </w:r>
          </w:p>
        </w:tc>
        <w:tc>
          <w:tcPr>
            <w:tcW w:w="797" w:type="pct"/>
          </w:tcPr>
          <w:p w14:paraId="3457BADE">
            <w:pPr>
              <w:ind w:firstLine="480" w:firstLineChars="200"/>
              <w:rPr>
                <w:rFonts w:hint="eastAsia" w:ascii="宋体" w:hAnsi="宋体" w:eastAsia="宋体"/>
                <w:sz w:val="24"/>
                <w:szCs w:val="24"/>
                <w14:ligatures w14:val="standardContextual"/>
              </w:rPr>
            </w:pPr>
            <w:r>
              <w:rPr>
                <w:rFonts w:hint="eastAsia" w:ascii="宋体" w:hAnsi="宋体" w:eastAsia="宋体"/>
                <w:sz w:val="24"/>
                <w:szCs w:val="24"/>
                <w14:ligatures w14:val="standardContextual"/>
              </w:rPr>
              <w:t>12%</w:t>
            </w:r>
          </w:p>
        </w:tc>
      </w:tr>
      <w:tr w14:paraId="0A05B08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2995" w:type="pct"/>
            <w:tcBorders>
              <w:top w:val="single" w:color="7E7E7E" w:themeColor="text1" w:themeTint="80" w:sz="4" w:space="0"/>
              <w:bottom w:val="single" w:color="7E7E7E" w:themeColor="text1" w:themeTint="80" w:sz="4" w:space="0"/>
            </w:tcBorders>
          </w:tcPr>
          <w:p w14:paraId="77A6F025">
            <w:pPr>
              <w:ind w:firstLine="482" w:firstLineChars="200"/>
              <w:rPr>
                <w:rFonts w:hint="eastAsia" w:ascii="宋体" w:hAnsi="宋体" w:eastAsia="宋体"/>
                <w:b w:val="0"/>
                <w:bCs w:val="0"/>
                <w:sz w:val="24"/>
                <w:szCs w:val="24"/>
                <w14:ligatures w14:val="standardContextual"/>
              </w:rPr>
            </w:pPr>
            <w:r>
              <w:rPr>
                <w:rFonts w:hint="eastAsia" w:ascii="宋体" w:hAnsi="宋体" w:eastAsia="宋体"/>
                <w:b/>
                <w:bCs/>
                <w:sz w:val="24"/>
                <w:szCs w:val="24"/>
                <w14:ligatures w14:val="standardContextual"/>
              </w:rPr>
              <w:t>知识产权申请</w:t>
            </w:r>
          </w:p>
        </w:tc>
        <w:tc>
          <w:tcPr>
            <w:tcW w:w="1209" w:type="pct"/>
            <w:tcBorders>
              <w:top w:val="single" w:color="7E7E7E" w:themeColor="text1" w:themeTint="80" w:sz="4" w:space="0"/>
              <w:bottom w:val="single" w:color="7E7E7E" w:themeColor="text1" w:themeTint="80" w:sz="4" w:space="0"/>
            </w:tcBorders>
          </w:tcPr>
          <w:p w14:paraId="5A57C515">
            <w:pPr>
              <w:ind w:firstLine="480" w:firstLineChars="200"/>
              <w:rPr>
                <w:rFonts w:hint="eastAsia" w:ascii="宋体" w:hAnsi="宋体" w:eastAsia="宋体"/>
                <w:sz w:val="24"/>
                <w:szCs w:val="24"/>
                <w14:ligatures w14:val="standardContextual"/>
              </w:rPr>
            </w:pPr>
            <w:r>
              <w:rPr>
                <w:rFonts w:hint="eastAsia" w:ascii="宋体" w:hAnsi="宋体" w:eastAsia="宋体"/>
                <w:sz w:val="24"/>
                <w:szCs w:val="24"/>
                <w14:ligatures w14:val="standardContextual"/>
              </w:rPr>
              <w:t>5 万元</w:t>
            </w:r>
          </w:p>
        </w:tc>
        <w:tc>
          <w:tcPr>
            <w:tcW w:w="797" w:type="pct"/>
            <w:tcBorders>
              <w:top w:val="single" w:color="7E7E7E" w:themeColor="text1" w:themeTint="80" w:sz="4" w:space="0"/>
              <w:bottom w:val="single" w:color="7E7E7E" w:themeColor="text1" w:themeTint="80" w:sz="4" w:space="0"/>
            </w:tcBorders>
          </w:tcPr>
          <w:p w14:paraId="7430AA64">
            <w:pPr>
              <w:ind w:firstLine="480" w:firstLineChars="200"/>
              <w:rPr>
                <w:rFonts w:hint="eastAsia" w:ascii="宋体" w:hAnsi="宋体" w:eastAsia="宋体"/>
                <w:sz w:val="24"/>
                <w:szCs w:val="24"/>
                <w14:ligatures w14:val="standardContextual"/>
              </w:rPr>
            </w:pPr>
            <w:r>
              <w:rPr>
                <w:rFonts w:hint="eastAsia" w:ascii="宋体" w:hAnsi="宋体" w:eastAsia="宋体"/>
                <w:sz w:val="24"/>
                <w:szCs w:val="24"/>
                <w14:ligatures w14:val="standardContextual"/>
              </w:rPr>
              <w:t>5%</w:t>
            </w:r>
          </w:p>
        </w:tc>
      </w:tr>
      <w:tr w14:paraId="1C3041B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2995" w:type="pct"/>
          </w:tcPr>
          <w:p w14:paraId="1751B144">
            <w:pPr>
              <w:ind w:firstLine="482" w:firstLineChars="200"/>
              <w:rPr>
                <w:rFonts w:hint="eastAsia" w:ascii="宋体" w:hAnsi="宋体" w:eastAsia="宋体"/>
                <w:b w:val="0"/>
                <w:bCs w:val="0"/>
                <w:sz w:val="24"/>
                <w:szCs w:val="24"/>
                <w14:ligatures w14:val="standardContextual"/>
              </w:rPr>
            </w:pPr>
            <w:r>
              <w:rPr>
                <w:rFonts w:hint="eastAsia" w:ascii="宋体" w:hAnsi="宋体" w:eastAsia="宋体"/>
                <w:b/>
                <w:bCs/>
                <w:sz w:val="24"/>
                <w:szCs w:val="24"/>
                <w14:ligatures w14:val="standardContextual"/>
              </w:rPr>
              <w:t>服务器 + 开发设备</w:t>
            </w:r>
          </w:p>
        </w:tc>
        <w:tc>
          <w:tcPr>
            <w:tcW w:w="1209" w:type="pct"/>
          </w:tcPr>
          <w:p w14:paraId="340A341A">
            <w:pPr>
              <w:ind w:firstLine="480" w:firstLineChars="200"/>
              <w:rPr>
                <w:rFonts w:hint="eastAsia" w:ascii="宋体" w:hAnsi="宋体" w:eastAsia="宋体"/>
                <w:sz w:val="24"/>
                <w:szCs w:val="24"/>
                <w14:ligatures w14:val="standardContextual"/>
              </w:rPr>
            </w:pPr>
            <w:r>
              <w:rPr>
                <w:rFonts w:hint="eastAsia" w:ascii="宋体" w:hAnsi="宋体" w:eastAsia="宋体"/>
                <w:sz w:val="24"/>
                <w:szCs w:val="24"/>
                <w14:ligatures w14:val="standardContextual"/>
              </w:rPr>
              <w:t>8 万元</w:t>
            </w:r>
          </w:p>
        </w:tc>
        <w:tc>
          <w:tcPr>
            <w:tcW w:w="797" w:type="pct"/>
          </w:tcPr>
          <w:p w14:paraId="067D9E58">
            <w:pPr>
              <w:ind w:firstLine="480" w:firstLineChars="200"/>
              <w:rPr>
                <w:rFonts w:hint="eastAsia" w:ascii="宋体" w:hAnsi="宋体" w:eastAsia="宋体"/>
                <w:sz w:val="24"/>
                <w:szCs w:val="24"/>
                <w14:ligatures w14:val="standardContextual"/>
              </w:rPr>
            </w:pPr>
            <w:r>
              <w:rPr>
                <w:rFonts w:hint="eastAsia" w:ascii="宋体" w:hAnsi="宋体" w:eastAsia="宋体"/>
                <w:sz w:val="24"/>
                <w:szCs w:val="24"/>
                <w14:ligatures w14:val="standardContextual"/>
              </w:rPr>
              <w:t>8%</w:t>
            </w:r>
          </w:p>
        </w:tc>
      </w:tr>
      <w:tr w14:paraId="7DD692C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2995" w:type="pct"/>
            <w:tcBorders>
              <w:top w:val="single" w:color="7E7E7E" w:themeColor="text1" w:themeTint="80" w:sz="4" w:space="0"/>
              <w:bottom w:val="single" w:color="7E7E7E" w:themeColor="text1" w:themeTint="80" w:sz="4" w:space="0"/>
            </w:tcBorders>
          </w:tcPr>
          <w:p w14:paraId="02565969">
            <w:pPr>
              <w:ind w:firstLine="482" w:firstLineChars="200"/>
              <w:rPr>
                <w:rFonts w:hint="eastAsia" w:ascii="宋体" w:hAnsi="宋体" w:eastAsia="宋体"/>
                <w:b w:val="0"/>
                <w:bCs w:val="0"/>
                <w:sz w:val="24"/>
                <w:szCs w:val="24"/>
                <w14:ligatures w14:val="standardContextual"/>
              </w:rPr>
            </w:pPr>
            <w:r>
              <w:rPr>
                <w:rFonts w:hint="eastAsia" w:ascii="宋体" w:hAnsi="宋体" w:eastAsia="宋体"/>
                <w:b/>
                <w:bCs/>
                <w:sz w:val="24"/>
                <w:szCs w:val="24"/>
                <w14:ligatures w14:val="standardContextual"/>
              </w:rPr>
              <w:t>种子用户运营</w:t>
            </w:r>
          </w:p>
        </w:tc>
        <w:tc>
          <w:tcPr>
            <w:tcW w:w="1209" w:type="pct"/>
            <w:tcBorders>
              <w:top w:val="single" w:color="7E7E7E" w:themeColor="text1" w:themeTint="80" w:sz="4" w:space="0"/>
              <w:bottom w:val="single" w:color="7E7E7E" w:themeColor="text1" w:themeTint="80" w:sz="4" w:space="0"/>
            </w:tcBorders>
          </w:tcPr>
          <w:p w14:paraId="45B0C6A5">
            <w:pPr>
              <w:ind w:firstLine="480" w:firstLineChars="200"/>
              <w:rPr>
                <w:rFonts w:hint="eastAsia" w:ascii="宋体" w:hAnsi="宋体" w:eastAsia="宋体"/>
                <w:sz w:val="24"/>
                <w:szCs w:val="24"/>
                <w14:ligatures w14:val="standardContextual"/>
              </w:rPr>
            </w:pPr>
            <w:r>
              <w:rPr>
                <w:rFonts w:hint="eastAsia" w:ascii="宋体" w:hAnsi="宋体" w:eastAsia="宋体"/>
                <w:sz w:val="24"/>
                <w:szCs w:val="24"/>
                <w14:ligatures w14:val="standardContextual"/>
              </w:rPr>
              <w:t>5 万元</w:t>
            </w:r>
          </w:p>
        </w:tc>
        <w:tc>
          <w:tcPr>
            <w:tcW w:w="797" w:type="pct"/>
            <w:tcBorders>
              <w:top w:val="single" w:color="7E7E7E" w:themeColor="text1" w:themeTint="80" w:sz="4" w:space="0"/>
              <w:bottom w:val="single" w:color="7E7E7E" w:themeColor="text1" w:themeTint="80" w:sz="4" w:space="0"/>
            </w:tcBorders>
          </w:tcPr>
          <w:p w14:paraId="29C175F2">
            <w:pPr>
              <w:ind w:firstLine="480" w:firstLineChars="200"/>
              <w:rPr>
                <w:rFonts w:hint="eastAsia" w:ascii="宋体" w:hAnsi="宋体" w:eastAsia="宋体"/>
                <w:sz w:val="24"/>
                <w:szCs w:val="24"/>
                <w14:ligatures w14:val="standardContextual"/>
              </w:rPr>
            </w:pPr>
            <w:r>
              <w:rPr>
                <w:rFonts w:hint="eastAsia" w:ascii="宋体" w:hAnsi="宋体" w:eastAsia="宋体"/>
                <w:sz w:val="24"/>
                <w:szCs w:val="24"/>
                <w14:ligatures w14:val="standardContextual"/>
              </w:rPr>
              <w:t>5%</w:t>
            </w:r>
          </w:p>
        </w:tc>
      </w:tr>
      <w:tr w14:paraId="3F11CA0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2995" w:type="pct"/>
          </w:tcPr>
          <w:p w14:paraId="2BC9387B">
            <w:pPr>
              <w:ind w:firstLine="482" w:firstLineChars="200"/>
              <w:rPr>
                <w:rFonts w:hint="eastAsia" w:ascii="宋体" w:hAnsi="宋体" w:eastAsia="宋体"/>
                <w:b w:val="0"/>
                <w:bCs w:val="0"/>
                <w:sz w:val="24"/>
                <w:szCs w:val="24"/>
                <w14:ligatures w14:val="standardContextual"/>
              </w:rPr>
            </w:pPr>
            <w:r>
              <w:rPr>
                <w:rFonts w:hint="eastAsia" w:ascii="宋体" w:hAnsi="宋体" w:eastAsia="宋体"/>
                <w:b/>
                <w:bCs/>
                <w:sz w:val="24"/>
                <w:szCs w:val="24"/>
                <w14:ligatures w14:val="standardContextual"/>
              </w:rPr>
              <w:t>市场推广</w:t>
            </w:r>
          </w:p>
        </w:tc>
        <w:tc>
          <w:tcPr>
            <w:tcW w:w="1209" w:type="pct"/>
          </w:tcPr>
          <w:p w14:paraId="6188810D">
            <w:pPr>
              <w:ind w:firstLine="480" w:firstLineChars="200"/>
              <w:rPr>
                <w:rFonts w:hint="eastAsia" w:ascii="宋体" w:hAnsi="宋体" w:eastAsia="宋体"/>
                <w:sz w:val="24"/>
                <w:szCs w:val="24"/>
                <w14:ligatures w14:val="standardContextual"/>
              </w:rPr>
            </w:pPr>
            <w:r>
              <w:rPr>
                <w:rFonts w:hint="eastAsia" w:ascii="宋体" w:hAnsi="宋体" w:eastAsia="宋体"/>
                <w:sz w:val="24"/>
                <w:szCs w:val="24"/>
                <w14:ligatures w14:val="standardContextual"/>
              </w:rPr>
              <w:t>10 万元</w:t>
            </w:r>
          </w:p>
        </w:tc>
        <w:tc>
          <w:tcPr>
            <w:tcW w:w="797" w:type="pct"/>
          </w:tcPr>
          <w:p w14:paraId="4CCBBCAB">
            <w:pPr>
              <w:ind w:firstLine="480" w:firstLineChars="200"/>
              <w:rPr>
                <w:rFonts w:hint="eastAsia" w:ascii="宋体" w:hAnsi="宋体" w:eastAsia="宋体"/>
                <w:sz w:val="24"/>
                <w:szCs w:val="24"/>
                <w14:ligatures w14:val="standardContextual"/>
              </w:rPr>
            </w:pPr>
            <w:r>
              <w:rPr>
                <w:rFonts w:hint="eastAsia" w:ascii="宋体" w:hAnsi="宋体" w:eastAsia="宋体"/>
                <w:sz w:val="24"/>
                <w:szCs w:val="24"/>
                <w14:ligatures w14:val="standardContextual"/>
              </w:rPr>
              <w:t>10%</w:t>
            </w:r>
          </w:p>
        </w:tc>
      </w:tr>
      <w:tr w14:paraId="742A547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2995" w:type="pct"/>
            <w:tcBorders>
              <w:top w:val="single" w:color="7E7E7E" w:themeColor="text1" w:themeTint="80" w:sz="4" w:space="0"/>
              <w:bottom w:val="single" w:color="7E7E7E" w:themeColor="text1" w:themeTint="80" w:sz="4" w:space="0"/>
            </w:tcBorders>
          </w:tcPr>
          <w:p w14:paraId="287F790F">
            <w:pPr>
              <w:ind w:firstLine="482" w:firstLineChars="200"/>
              <w:rPr>
                <w:rFonts w:hint="eastAsia" w:ascii="宋体" w:hAnsi="宋体" w:eastAsia="宋体"/>
                <w:b w:val="0"/>
                <w:bCs w:val="0"/>
                <w:sz w:val="24"/>
                <w:szCs w:val="24"/>
                <w14:ligatures w14:val="standardContextual"/>
              </w:rPr>
            </w:pPr>
            <w:r>
              <w:rPr>
                <w:rFonts w:hint="eastAsia" w:ascii="宋体" w:hAnsi="宋体" w:eastAsia="宋体"/>
                <w:b/>
                <w:bCs/>
                <w:sz w:val="24"/>
                <w:szCs w:val="24"/>
                <w14:ligatures w14:val="standardContextual"/>
              </w:rPr>
              <w:t>团队生活补贴</w:t>
            </w:r>
          </w:p>
        </w:tc>
        <w:tc>
          <w:tcPr>
            <w:tcW w:w="1209" w:type="pct"/>
            <w:tcBorders>
              <w:top w:val="single" w:color="7E7E7E" w:themeColor="text1" w:themeTint="80" w:sz="4" w:space="0"/>
              <w:bottom w:val="single" w:color="7E7E7E" w:themeColor="text1" w:themeTint="80" w:sz="4" w:space="0"/>
            </w:tcBorders>
          </w:tcPr>
          <w:p w14:paraId="3D53EF1E">
            <w:pPr>
              <w:ind w:firstLine="480" w:firstLineChars="200"/>
              <w:rPr>
                <w:rFonts w:hint="eastAsia" w:ascii="宋体" w:hAnsi="宋体" w:eastAsia="宋体"/>
                <w:sz w:val="24"/>
                <w:szCs w:val="24"/>
                <w14:ligatures w14:val="standardContextual"/>
              </w:rPr>
            </w:pPr>
            <w:r>
              <w:rPr>
                <w:rFonts w:hint="eastAsia" w:ascii="宋体" w:hAnsi="宋体" w:eastAsia="宋体"/>
                <w:sz w:val="24"/>
                <w:szCs w:val="24"/>
                <w14:ligatures w14:val="standardContextual"/>
              </w:rPr>
              <w:t>20 万元</w:t>
            </w:r>
          </w:p>
        </w:tc>
        <w:tc>
          <w:tcPr>
            <w:tcW w:w="797" w:type="pct"/>
            <w:tcBorders>
              <w:top w:val="single" w:color="7E7E7E" w:themeColor="text1" w:themeTint="80" w:sz="4" w:space="0"/>
              <w:bottom w:val="single" w:color="7E7E7E" w:themeColor="text1" w:themeTint="80" w:sz="4" w:space="0"/>
            </w:tcBorders>
          </w:tcPr>
          <w:p w14:paraId="5809345A">
            <w:pPr>
              <w:ind w:firstLine="480" w:firstLineChars="200"/>
              <w:rPr>
                <w:rFonts w:hint="eastAsia" w:ascii="宋体" w:hAnsi="宋体" w:eastAsia="宋体"/>
                <w:sz w:val="24"/>
                <w:szCs w:val="24"/>
                <w14:ligatures w14:val="standardContextual"/>
              </w:rPr>
            </w:pPr>
            <w:r>
              <w:rPr>
                <w:rFonts w:hint="eastAsia" w:ascii="宋体" w:hAnsi="宋体" w:eastAsia="宋体"/>
                <w:sz w:val="24"/>
                <w:szCs w:val="24"/>
                <w14:ligatures w14:val="standardContextual"/>
              </w:rPr>
              <w:t>20%</w:t>
            </w:r>
          </w:p>
        </w:tc>
      </w:tr>
      <w:tr w14:paraId="575E4D3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2995" w:type="pct"/>
          </w:tcPr>
          <w:p w14:paraId="16F6FEB3">
            <w:pPr>
              <w:ind w:firstLine="482" w:firstLineChars="200"/>
              <w:rPr>
                <w:rFonts w:hint="eastAsia" w:ascii="宋体" w:hAnsi="宋体" w:eastAsia="宋体"/>
                <w:b w:val="0"/>
                <w:bCs w:val="0"/>
                <w:sz w:val="24"/>
                <w:szCs w:val="24"/>
                <w14:ligatures w14:val="standardContextual"/>
              </w:rPr>
            </w:pPr>
            <w:r>
              <w:rPr>
                <w:rFonts w:hint="eastAsia" w:ascii="宋体" w:hAnsi="宋体" w:eastAsia="宋体"/>
                <w:b/>
                <w:bCs/>
                <w:sz w:val="24"/>
                <w:szCs w:val="24"/>
                <w14:ligatures w14:val="standardContextual"/>
              </w:rPr>
              <w:t>应急储备金</w:t>
            </w:r>
          </w:p>
        </w:tc>
        <w:tc>
          <w:tcPr>
            <w:tcW w:w="1209" w:type="pct"/>
          </w:tcPr>
          <w:p w14:paraId="1C95C59D">
            <w:pPr>
              <w:ind w:firstLine="480" w:firstLineChars="200"/>
              <w:rPr>
                <w:rFonts w:hint="eastAsia" w:ascii="宋体" w:hAnsi="宋体" w:eastAsia="宋体"/>
                <w:sz w:val="24"/>
                <w:szCs w:val="24"/>
                <w14:ligatures w14:val="standardContextual"/>
              </w:rPr>
            </w:pPr>
            <w:r>
              <w:rPr>
                <w:rFonts w:hint="eastAsia" w:ascii="宋体" w:hAnsi="宋体" w:eastAsia="宋体"/>
                <w:sz w:val="24"/>
                <w:szCs w:val="24"/>
                <w14:ligatures w14:val="standardContextual"/>
              </w:rPr>
              <w:t>7 万元</w:t>
            </w:r>
          </w:p>
        </w:tc>
        <w:tc>
          <w:tcPr>
            <w:tcW w:w="797" w:type="pct"/>
          </w:tcPr>
          <w:p w14:paraId="38CACE6F">
            <w:pPr>
              <w:ind w:firstLine="480" w:firstLineChars="200"/>
              <w:rPr>
                <w:rFonts w:hint="eastAsia" w:ascii="宋体" w:hAnsi="宋体" w:eastAsia="宋体"/>
                <w:sz w:val="24"/>
                <w:szCs w:val="24"/>
                <w14:ligatures w14:val="standardContextual"/>
              </w:rPr>
            </w:pPr>
            <w:r>
              <w:rPr>
                <w:rFonts w:hint="eastAsia" w:ascii="宋体" w:hAnsi="宋体" w:eastAsia="宋体"/>
                <w:sz w:val="24"/>
                <w:szCs w:val="24"/>
                <w14:ligatures w14:val="standardContextual"/>
              </w:rPr>
              <w:t xml:space="preserve">7% </w:t>
            </w:r>
          </w:p>
        </w:tc>
      </w:tr>
    </w:tbl>
    <w:p w14:paraId="57C52F77">
      <w:pPr>
        <w:pStyle w:val="3"/>
        <w:keepNext w:val="0"/>
        <w:keepLines w:val="0"/>
        <w:spacing w:before="0" w:after="0" w:line="480" w:lineRule="exact"/>
        <w:ind w:firstLine="480" w:firstLineChars="200"/>
        <w:rPr>
          <w:rFonts w:hint="eastAsia" w:ascii="宋体" w:hAnsi="宋体" w:eastAsia="宋体" w:cs="Times New Roman"/>
          <w:bCs/>
          <w:color w:val="auto"/>
          <w:kern w:val="0"/>
          <w:sz w:val="24"/>
          <w:szCs w:val="24"/>
        </w:rPr>
      </w:pPr>
      <w:bookmarkStart w:id="55" w:name="_Toc232355799"/>
      <w:r>
        <w:rPr>
          <w:rFonts w:hint="eastAsia" w:ascii="宋体" w:hAnsi="宋体" w:eastAsia="宋体" w:cs="Times New Roman"/>
          <w:bCs/>
          <w:color w:val="auto"/>
          <w:kern w:val="0"/>
          <w:sz w:val="24"/>
          <w:szCs w:val="24"/>
        </w:rPr>
        <w:t>4.8 敏感性分析</w:t>
      </w:r>
      <w:bookmarkEnd w:id="55"/>
    </w:p>
    <w:p w14:paraId="42BAC511">
      <w:pPr>
        <w:spacing w:line="480" w:lineRule="exact"/>
        <w:ind w:firstLine="480" w:firstLineChars="200"/>
        <w:rPr>
          <w:rFonts w:hint="eastAsia" w:ascii="宋体" w:hAnsi="宋体" w:eastAsia="宋体"/>
          <w:sz w:val="24"/>
          <w:szCs w:val="24"/>
        </w:rPr>
      </w:pPr>
      <w:r>
        <w:rPr>
          <w:rFonts w:ascii="宋体" w:hAnsi="宋体" w:eastAsia="宋体"/>
          <w:sz w:val="24"/>
          <w:szCs w:val="24"/>
        </w:rPr>
        <w:t>针对B端年新增签约量、C端用户付费率、智能硬件销量三大核心变量开展多情景敏感性测试，量化不同市场环境下的项目财务表现与抗风险能力</w:t>
      </w:r>
      <w:r>
        <w:rPr>
          <w:rFonts w:hint="eastAsia" w:ascii="宋体" w:hAnsi="宋体" w:eastAsia="宋体"/>
          <w:sz w:val="24"/>
          <w:szCs w:val="24"/>
        </w:rPr>
        <w:t>。</w:t>
      </w:r>
    </w:p>
    <w:p w14:paraId="1226F90A">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悲观情景（B端年新增签约量下降50%，C端付费率下降20%，智能硬件销量下降30%）：Year3收入仍有2500万元，覆盖全部变动成本且接近盈亏平衡，不会出现持续性大额亏损——模型抗风险能力较强。悲观情景下Year1收入270万元，叠加100万元种子轮储备，通过缩减非核心市场与运营支出，可支持约8 个月核心研发运营，为产品迭代与市场策略调整预留充足时间窗口。</w:t>
      </w:r>
    </w:p>
    <w:p w14:paraId="7C2CC2A1">
      <w:pPr>
        <w:spacing w:line="480" w:lineRule="exact"/>
        <w:ind w:firstLine="480" w:firstLineChars="200"/>
        <w:rPr>
          <w:rFonts w:hint="eastAsia" w:ascii="宋体" w:hAnsi="宋体" w:eastAsia="宋体"/>
          <w:sz w:val="24"/>
          <w:szCs w:val="24"/>
        </w:rPr>
      </w:pPr>
      <w:r>
        <w:rPr>
          <w:rFonts w:hint="eastAsia" w:ascii="宋体" w:hAnsi="宋体" w:eastAsia="宋体"/>
          <w:sz w:val="24"/>
          <w:szCs w:val="24"/>
        </w:rPr>
        <w:t>种子轮融资100万元出让10%股权，以Year3基准情景5x ARR估值（年度经常性收入= C端订阅1200万元+B端服务800万元= 2000万元，估值约10000万元）计算，投资人3年回报约10.0x。悲观和乐观情景下回报区间为7.0x-13.0x，整体风险收益特征完全符合早期VC的投资回报预期，具备良好的投资价值。</w:t>
      </w:r>
    </w:p>
    <w:p w14:paraId="5C339E10">
      <w:pPr>
        <w:spacing w:line="480" w:lineRule="exact"/>
        <w:ind w:firstLine="480" w:firstLineChars="200"/>
        <w:rPr>
          <w:rFonts w:hint="eastAsia" w:ascii="宋体" w:hAnsi="宋体" w:eastAsia="宋体"/>
          <w:sz w:val="24"/>
          <w:szCs w:val="24"/>
        </w:rPr>
      </w:pPr>
    </w:p>
    <w:p w14:paraId="4343A427">
      <w:pPr>
        <w:pStyle w:val="52"/>
        <w:rPr>
          <w:rFonts w:hint="eastAsia"/>
        </w:rPr>
      </w:pPr>
      <w:bookmarkStart w:id="56" w:name="_Toc232355800"/>
      <w:r>
        <w:rPr>
          <w:rFonts w:hint="eastAsia"/>
        </w:rPr>
        <w:t>五、市场分析与验证</w:t>
      </w:r>
      <w:bookmarkEnd w:id="56"/>
    </w:p>
    <w:tbl>
      <w:tblPr>
        <w:tblStyle w:val="26"/>
        <w:tblpPr w:leftFromText="180" w:rightFromText="180" w:vertAnchor="text" w:tblpX="10214" w:tblpY="1596"/>
        <w:tblOverlap w:val="never"/>
        <w:tblW w:w="0" w:type="auto"/>
        <w:tblInd w:w="0" w:type="dxa"/>
        <w:tblBorders>
          <w:top w:val="single" w:color="EE822F" w:sz="4" w:space="0"/>
          <w:left w:val="single" w:color="EE822F" w:sz="4" w:space="0"/>
          <w:bottom w:val="single" w:color="EE822F" w:sz="4" w:space="0"/>
          <w:right w:val="single" w:color="EE822F" w:sz="4" w:space="0"/>
          <w:insideH w:val="single" w:color="EE822F" w:sz="4" w:space="0"/>
          <w:insideV w:val="single" w:color="EE822F" w:sz="4" w:space="0"/>
        </w:tblBorders>
        <w:tblLayout w:type="autofit"/>
        <w:tblCellMar>
          <w:top w:w="0" w:type="dxa"/>
          <w:left w:w="108" w:type="dxa"/>
          <w:bottom w:w="0" w:type="dxa"/>
          <w:right w:w="108" w:type="dxa"/>
        </w:tblCellMar>
      </w:tblPr>
      <w:tblGrid>
        <w:gridCol w:w="1284"/>
      </w:tblGrid>
      <w:tr w14:paraId="5456A22E">
        <w:tblPrEx>
          <w:tblBorders>
            <w:top w:val="single" w:color="EE822F" w:sz="4" w:space="0"/>
            <w:left w:val="single" w:color="EE822F" w:sz="4" w:space="0"/>
            <w:bottom w:val="single" w:color="EE822F" w:sz="4" w:space="0"/>
            <w:right w:val="single" w:color="EE822F" w:sz="4" w:space="0"/>
            <w:insideH w:val="single" w:color="EE822F" w:sz="4" w:space="0"/>
            <w:insideV w:val="single" w:color="EE822F" w:sz="4" w:space="0"/>
          </w:tblBorders>
          <w:tblCellMar>
            <w:top w:w="0" w:type="dxa"/>
            <w:left w:w="108" w:type="dxa"/>
            <w:bottom w:w="0" w:type="dxa"/>
            <w:right w:w="108" w:type="dxa"/>
          </w:tblCellMar>
        </w:tblPrEx>
        <w:trPr>
          <w:trHeight w:val="30" w:hRule="atLeast"/>
        </w:trPr>
        <w:tc>
          <w:tcPr>
            <w:tcW w:w="1284" w:type="dxa"/>
          </w:tcPr>
          <w:p w14:paraId="14FD4BEE">
            <w:pPr>
              <w:spacing w:line="560" w:lineRule="atLeast"/>
              <w:ind w:firstLine="480" w:firstLineChars="200"/>
              <w:rPr>
                <w:rFonts w:hint="eastAsia" w:ascii="宋体" w:hAnsi="宋体" w:eastAsia="宋体" w:cs="方正仿宋_GB2312"/>
                <w:sz w:val="24"/>
                <w:szCs w:val="24"/>
                <w14:ligatures w14:val="standardContextual"/>
              </w:rPr>
            </w:pPr>
          </w:p>
        </w:tc>
      </w:tr>
    </w:tbl>
    <w:p w14:paraId="1A98ABCF">
      <w:pPr>
        <w:spacing w:line="560" w:lineRule="atLeast"/>
        <w:ind w:firstLine="480" w:firstLineChars="200"/>
        <w:rPr>
          <w:rFonts w:hint="eastAsia" w:ascii="宋体" w:hAnsi="宋体" w:eastAsia="宋体" w:cs="方正仿宋_GB2312"/>
          <w:sz w:val="24"/>
          <w:szCs w:val="24"/>
        </w:rPr>
      </w:pPr>
      <w:r>
        <w:rPr>
          <w:rFonts w:hint="eastAsia" w:ascii="宋体" w:hAnsi="宋体" w:eastAsia="宋体" w:cs="方正仿宋_GB2312"/>
          <w:sz w:val="24"/>
          <w:szCs w:val="24"/>
        </w:rPr>
        <w:t>“心安动识”所踏入的，并非一条拥挤的赛道，而是一片被长期忽视的蓝海。在这里，宏观数据与微观感受相互印证：焦虑正在成为一种“时代情绪”，而躯体化动作（BFRBs）则是它最诚实的表达。本章将从市场规模、用户画像、竞争格局、需求验证、政策响应五个维度，系统论证项目的市场可行性。</w:t>
      </w:r>
    </w:p>
    <w:p w14:paraId="6E03E9A8">
      <w:pPr>
        <w:spacing w:line="560" w:lineRule="atLeast"/>
        <w:ind w:firstLine="482" w:firstLineChars="200"/>
        <w:outlineLvl w:val="1"/>
        <w:rPr>
          <w:rFonts w:hint="eastAsia" w:ascii="宋体" w:hAnsi="宋体" w:eastAsia="宋体" w:cs="方正楷体_GB2312"/>
          <w:b/>
          <w:bCs/>
          <w:sz w:val="24"/>
          <w:szCs w:val="24"/>
        </w:rPr>
      </w:pPr>
      <w:bookmarkStart w:id="57" w:name="_Toc232355801"/>
      <w:r>
        <w:rPr>
          <w:rFonts w:hint="eastAsia" w:ascii="宋体" w:hAnsi="宋体" w:eastAsia="宋体" w:cs="方正楷体_GB2312"/>
          <w:b/>
          <w:bCs/>
          <w:sz w:val="24"/>
          <w:szCs w:val="24"/>
        </w:rPr>
        <w:t>5.1 市场规模与增长趋势</w:t>
      </w:r>
      <w:bookmarkEnd w:id="57"/>
    </w:p>
    <w:p w14:paraId="2727BA7C">
      <w:pPr>
        <w:spacing w:line="560" w:lineRule="atLeast"/>
        <w:ind w:firstLine="482" w:firstLineChars="200"/>
        <w:outlineLvl w:val="2"/>
        <w:rPr>
          <w:rFonts w:hint="eastAsia" w:ascii="宋体" w:hAnsi="宋体" w:eastAsia="宋体" w:cs="方正仿宋_GB2312"/>
          <w:b/>
          <w:bCs/>
          <w:sz w:val="24"/>
          <w:szCs w:val="24"/>
        </w:rPr>
      </w:pPr>
      <w:bookmarkStart w:id="58" w:name="_Toc232355802"/>
      <w:r>
        <w:rPr>
          <w:rFonts w:hint="eastAsia" w:ascii="宋体" w:hAnsi="宋体" w:eastAsia="宋体" w:cs="方正仿宋_GB2312"/>
          <w:b/>
          <w:bCs/>
          <w:sz w:val="24"/>
          <w:szCs w:val="24"/>
        </w:rPr>
        <w:t>5.1.1 全球及中国数字心理健康市场规模</w:t>
      </w:r>
      <w:bookmarkEnd w:id="58"/>
    </w:p>
    <w:p w14:paraId="3A29E29E">
      <w:pPr>
        <w:spacing w:line="560" w:lineRule="atLeast"/>
        <w:ind w:firstLine="480" w:firstLineChars="200"/>
        <w:rPr>
          <w:rFonts w:hint="eastAsia" w:ascii="宋体" w:hAnsi="宋体" w:eastAsia="宋体" w:cs="方正仿宋_GB2312"/>
          <w:sz w:val="24"/>
          <w:szCs w:val="24"/>
        </w:rPr>
      </w:pPr>
      <w:r>
        <w:rPr>
          <w:rFonts w:hint="eastAsia" w:ascii="宋体" w:hAnsi="宋体" w:eastAsia="宋体" w:cs="方正仿宋_GB2312"/>
          <w:sz w:val="24"/>
          <w:szCs w:val="24"/>
        </w:rPr>
        <w:t>数字心理健康市场正处于高速增长期。随着AI技术与医疗健康的深度融合，以及社会对心理问题认知度的提升，该市场已成为全球资本与政策关注的焦点。</w:t>
      </w:r>
    </w:p>
    <w:p w14:paraId="73E78A62">
      <w:pPr>
        <w:spacing w:line="560" w:lineRule="atLeast"/>
        <w:ind w:firstLine="480" w:firstLineChars="200"/>
        <w:jc w:val="center"/>
        <w:rPr>
          <w:rFonts w:hint="eastAsia" w:ascii="宋体" w:hAnsi="宋体" w:eastAsia="宋体"/>
          <w:sz w:val="24"/>
          <w:szCs w:val="24"/>
        </w:rPr>
      </w:pPr>
      <w:r>
        <w:rPr>
          <w:rFonts w:ascii="宋体" w:hAnsi="宋体" w:eastAsia="宋体"/>
          <w:sz w:val="24"/>
          <w:szCs w:val="24"/>
        </w:rPr>
        <w:drawing>
          <wp:inline distT="0" distB="0" distL="114300" distR="114300">
            <wp:extent cx="4369435" cy="1918970"/>
            <wp:effectExtent l="5080" t="4445" r="6985" b="6985"/>
            <wp:docPr id="2" name="图表 5" descr="7b0a202020202263686172745265734964223a20223230343731343133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4B4BA48">
      <w:pPr>
        <w:spacing w:line="560" w:lineRule="atLeast"/>
        <w:ind w:firstLine="480" w:firstLineChars="200"/>
        <w:jc w:val="center"/>
        <w:rPr>
          <w:rFonts w:hint="eastAsia" w:ascii="宋体" w:hAnsi="宋体" w:eastAsia="宋体" w:cs="方正仿宋_GB2312"/>
          <w:sz w:val="24"/>
          <w:szCs w:val="24"/>
        </w:rPr>
      </w:pPr>
      <w:r>
        <w:rPr>
          <w:rFonts w:hint="eastAsia" w:ascii="宋体" w:hAnsi="宋体" w:eastAsia="宋体" w:cs="方正仿宋_GB2312"/>
          <w:sz w:val="24"/>
          <w:szCs w:val="24"/>
        </w:rPr>
        <w:t>来源：Grand View Research, Frost &amp; Sullivan, 中国信通院《数字健康产业发展报告》</w:t>
      </w:r>
    </w:p>
    <w:p w14:paraId="745B0630">
      <w:pPr>
        <w:spacing w:line="560" w:lineRule="atLeast"/>
        <w:ind w:firstLine="480" w:firstLineChars="200"/>
        <w:rPr>
          <w:rFonts w:hint="eastAsia" w:ascii="宋体" w:hAnsi="宋体" w:eastAsia="宋体" w:cs="方正仿宋_GB2312"/>
          <w:sz w:val="24"/>
          <w:szCs w:val="24"/>
        </w:rPr>
      </w:pPr>
      <w:r>
        <w:rPr>
          <w:rFonts w:hint="eastAsia" w:ascii="宋体" w:hAnsi="宋体" w:eastAsia="宋体" w:cs="方正仿宋_GB2312"/>
          <w:sz w:val="24"/>
          <w:szCs w:val="24"/>
        </w:rPr>
        <w:t>核心洞察：中国市场的增速（CAGR27%-31%）高于全球平均水平，表明国内对心理健康服务的需求正在加速释放。政策推动与民众意识觉醒是这一增长的双重引擎。</w:t>
      </w:r>
    </w:p>
    <w:p w14:paraId="63095BD1">
      <w:pPr>
        <w:spacing w:line="560" w:lineRule="atLeast"/>
        <w:ind w:firstLine="482" w:firstLineChars="200"/>
        <w:outlineLvl w:val="2"/>
        <w:rPr>
          <w:rFonts w:hint="eastAsia" w:ascii="宋体" w:hAnsi="宋体" w:eastAsia="宋体" w:cs="方正仿宋_GB2312"/>
          <w:b/>
          <w:bCs/>
          <w:sz w:val="24"/>
          <w:szCs w:val="24"/>
        </w:rPr>
      </w:pPr>
      <w:bookmarkStart w:id="59" w:name="_Toc232355803"/>
      <w:r>
        <w:rPr>
          <w:rFonts w:hint="eastAsia" w:ascii="宋体" w:hAnsi="宋体" w:eastAsia="宋体" w:cs="方正仿宋_GB2312"/>
          <w:b/>
          <w:bCs/>
          <w:sz w:val="24"/>
          <w:szCs w:val="24"/>
        </w:rPr>
        <w:t>5.1.2 可穿戴行为识别细分市场</w:t>
      </w:r>
      <w:bookmarkEnd w:id="59"/>
    </w:p>
    <w:p w14:paraId="79144ED8">
      <w:pPr>
        <w:spacing w:line="560" w:lineRule="atLeast"/>
        <w:ind w:firstLine="480" w:firstLineChars="200"/>
        <w:rPr>
          <w:rFonts w:hint="eastAsia" w:ascii="宋体" w:hAnsi="宋体" w:eastAsia="宋体" w:cs="方正仿宋_GB2312"/>
          <w:sz w:val="24"/>
          <w:szCs w:val="24"/>
        </w:rPr>
      </w:pPr>
      <w:r>
        <w:rPr>
          <w:rFonts w:hint="eastAsia" w:ascii="宋体" w:hAnsi="宋体" w:eastAsia="宋体" w:cs="方正仿宋_GB2312"/>
          <w:sz w:val="24"/>
          <w:szCs w:val="24"/>
        </w:rPr>
        <w:t>全球可穿戴行为监测市场：2025年规模约$6亿，预计2035年突破$150亿。</w:t>
      </w:r>
    </w:p>
    <w:p w14:paraId="1B21A038">
      <w:pPr>
        <w:spacing w:line="560" w:lineRule="atLeast"/>
        <w:ind w:firstLine="480" w:firstLineChars="200"/>
        <w:rPr>
          <w:rFonts w:hint="eastAsia" w:ascii="宋体" w:hAnsi="宋体" w:eastAsia="宋体" w:cs="方正仿宋_GB2312"/>
          <w:sz w:val="24"/>
          <w:szCs w:val="24"/>
        </w:rPr>
      </w:pPr>
      <w:r>
        <w:rPr>
          <w:rFonts w:hint="eastAsia" w:ascii="宋体" w:hAnsi="宋体" w:eastAsia="宋体" w:cs="方正仿宋_GB2312"/>
          <w:sz w:val="24"/>
          <w:szCs w:val="24"/>
        </w:rPr>
        <w:t>BFRBs专项智能检测市场：尚属蓝海。目前全球仅2-3家初创公司（如HabitAware的Keen手环）布局该赛道，国内尚无直接竞品。</w:t>
      </w:r>
    </w:p>
    <w:p w14:paraId="740C3F9C">
      <w:pPr>
        <w:spacing w:line="560" w:lineRule="atLeast"/>
        <w:ind w:firstLine="480" w:firstLineChars="200"/>
        <w:rPr>
          <w:rFonts w:hint="eastAsia" w:ascii="宋体" w:hAnsi="宋体" w:eastAsia="宋体" w:cs="方正仿宋_GB2312"/>
          <w:sz w:val="24"/>
          <w:szCs w:val="24"/>
        </w:rPr>
      </w:pPr>
      <w:r>
        <w:rPr>
          <w:rFonts w:hint="eastAsia" w:ascii="宋体" w:hAnsi="宋体" w:eastAsia="宋体" w:cs="方正仿宋_GB2312"/>
          <w:sz w:val="24"/>
          <w:szCs w:val="24"/>
        </w:rPr>
        <w:t>核心洞察：在庞大的心理健康与可穿戴设备的交叉地带，“BFRBs躯体化动作识别”是一片空地。“心安动识”有机会成为这一细分赛道的定义者。</w:t>
      </w:r>
    </w:p>
    <w:p w14:paraId="14F13784">
      <w:pPr>
        <w:spacing w:line="560" w:lineRule="atLeast"/>
        <w:ind w:firstLine="482" w:firstLineChars="200"/>
        <w:outlineLvl w:val="1"/>
        <w:rPr>
          <w:rFonts w:hint="eastAsia" w:ascii="宋体" w:hAnsi="宋体" w:eastAsia="宋体" w:cs="方正楷体_GB2312"/>
          <w:b/>
          <w:bCs/>
          <w:sz w:val="24"/>
          <w:szCs w:val="24"/>
        </w:rPr>
      </w:pPr>
      <w:bookmarkStart w:id="60" w:name="_Toc232355804"/>
      <w:r>
        <w:rPr>
          <w:rFonts w:hint="eastAsia" w:ascii="宋体" w:hAnsi="宋体" w:eastAsia="宋体" w:cs="方正楷体_GB2312"/>
          <w:b/>
          <w:bCs/>
          <w:sz w:val="24"/>
          <w:szCs w:val="24"/>
        </w:rPr>
        <w:t>5.2 目标用户画像</w:t>
      </w:r>
      <w:bookmarkEnd w:id="60"/>
    </w:p>
    <w:p w14:paraId="04EB6F8A">
      <w:pPr>
        <w:spacing w:line="560" w:lineRule="atLeast"/>
        <w:ind w:firstLine="480" w:firstLineChars="200"/>
        <w:rPr>
          <w:rFonts w:hint="eastAsia" w:ascii="宋体" w:hAnsi="宋体" w:eastAsia="宋体" w:cs="方正仿宋_GB2312"/>
          <w:sz w:val="24"/>
          <w:szCs w:val="24"/>
        </w:rPr>
      </w:pPr>
      <w:r>
        <w:rPr>
          <w:rFonts w:hint="eastAsia" w:ascii="宋体" w:hAnsi="宋体" w:eastAsia="宋体" w:cs="方正仿宋_GB2312"/>
          <w:sz w:val="24"/>
          <w:szCs w:val="24"/>
        </w:rPr>
        <w:t>我们并非服务“所有人”，而是聚焦于最需要“被看见”的群体。基于焦虑行为的生理与心理特征，我们构建了分层用户模型：</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6"/>
        <w:gridCol w:w="2222"/>
        <w:gridCol w:w="2397"/>
        <w:gridCol w:w="2137"/>
      </w:tblGrid>
      <w:tr w14:paraId="3E555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36" w:type="pct"/>
            <w:tcBorders>
              <w:top w:val="single" w:color="000000" w:sz="12" w:space="0"/>
              <w:left w:val="nil"/>
              <w:bottom w:val="single" w:color="000000" w:sz="4" w:space="0"/>
              <w:right w:val="nil"/>
              <w:tl2br w:val="nil"/>
            </w:tcBorders>
            <w:shd w:val="clear" w:color="auto" w:fill="FFFFFF"/>
          </w:tcPr>
          <w:p w14:paraId="5722B788">
            <w:pPr>
              <w:spacing w:line="560" w:lineRule="atLeast"/>
              <w:ind w:firstLine="482" w:firstLineChars="200"/>
              <w:jc w:val="center"/>
              <w:rPr>
                <w:rFonts w:hint="eastAsia" w:ascii="宋体" w:hAnsi="宋体" w:eastAsia="宋体" w:cs="方正仿宋_GB2312"/>
                <w:b/>
                <w:color w:val="000000"/>
                <w:sz w:val="24"/>
                <w:szCs w:val="24"/>
                <w14:ligatures w14:val="standardContextual"/>
              </w:rPr>
            </w:pPr>
            <w:r>
              <w:rPr>
                <w:rFonts w:hint="eastAsia" w:ascii="宋体" w:hAnsi="宋体" w:eastAsia="宋体" w:cs="方正仿宋_GB2312"/>
                <w:b/>
                <w:color w:val="000000"/>
                <w:sz w:val="24"/>
                <w:szCs w:val="24"/>
                <w14:ligatures w14:val="standardContextual"/>
              </w:rPr>
              <w:t>层级</w:t>
            </w:r>
          </w:p>
        </w:tc>
        <w:tc>
          <w:tcPr>
            <w:tcW w:w="1303" w:type="pct"/>
            <w:tcBorders>
              <w:top w:val="single" w:color="000000" w:sz="12" w:space="0"/>
              <w:left w:val="nil"/>
              <w:bottom w:val="single" w:color="000000" w:sz="4" w:space="0"/>
              <w:right w:val="nil"/>
            </w:tcBorders>
            <w:shd w:val="clear" w:color="auto" w:fill="FFFFFF"/>
          </w:tcPr>
          <w:p w14:paraId="69E7B14C">
            <w:pPr>
              <w:spacing w:line="560" w:lineRule="atLeast"/>
              <w:ind w:firstLine="482" w:firstLineChars="200"/>
              <w:jc w:val="center"/>
              <w:rPr>
                <w:rFonts w:hint="eastAsia" w:ascii="宋体" w:hAnsi="宋体" w:eastAsia="宋体" w:cs="方正仿宋_GB2312"/>
                <w:b/>
                <w:color w:val="000000"/>
                <w:sz w:val="24"/>
                <w:szCs w:val="24"/>
                <w14:ligatures w14:val="standardContextual"/>
              </w:rPr>
            </w:pPr>
            <w:r>
              <w:rPr>
                <w:rFonts w:hint="eastAsia" w:ascii="宋体" w:hAnsi="宋体" w:eastAsia="宋体" w:cs="方正仿宋_GB2312"/>
                <w:b/>
                <w:color w:val="000000"/>
                <w:sz w:val="24"/>
                <w:szCs w:val="24"/>
                <w14:ligatures w14:val="standardContextual"/>
              </w:rPr>
              <w:t>用户群体</w:t>
            </w:r>
          </w:p>
        </w:tc>
        <w:tc>
          <w:tcPr>
            <w:tcW w:w="1406" w:type="pct"/>
            <w:tcBorders>
              <w:top w:val="single" w:color="000000" w:sz="12" w:space="0"/>
              <w:left w:val="nil"/>
              <w:bottom w:val="single" w:color="000000" w:sz="4" w:space="0"/>
              <w:right w:val="nil"/>
            </w:tcBorders>
            <w:shd w:val="clear" w:color="auto" w:fill="FFFFFF"/>
          </w:tcPr>
          <w:p w14:paraId="7889A917">
            <w:pPr>
              <w:spacing w:line="560" w:lineRule="atLeast"/>
              <w:ind w:firstLine="482" w:firstLineChars="200"/>
              <w:jc w:val="center"/>
              <w:rPr>
                <w:rFonts w:hint="eastAsia" w:ascii="宋体" w:hAnsi="宋体" w:eastAsia="宋体" w:cs="方正仿宋_GB2312"/>
                <w:b/>
                <w:color w:val="000000"/>
                <w:sz w:val="24"/>
                <w:szCs w:val="24"/>
                <w14:ligatures w14:val="standardContextual"/>
              </w:rPr>
            </w:pPr>
            <w:r>
              <w:rPr>
                <w:rFonts w:hint="eastAsia" w:ascii="宋体" w:hAnsi="宋体" w:eastAsia="宋体" w:cs="方正仿宋_GB2312"/>
                <w:b/>
                <w:color w:val="000000"/>
                <w:sz w:val="24"/>
                <w:szCs w:val="24"/>
                <w14:ligatures w14:val="standardContextual"/>
              </w:rPr>
              <w:t>核心痛点</w:t>
            </w:r>
          </w:p>
        </w:tc>
        <w:tc>
          <w:tcPr>
            <w:tcW w:w="1253" w:type="pct"/>
            <w:tcBorders>
              <w:top w:val="single" w:color="000000" w:sz="12" w:space="0"/>
              <w:left w:val="nil"/>
              <w:bottom w:val="single" w:color="000000" w:sz="4" w:space="0"/>
              <w:right w:val="nil"/>
            </w:tcBorders>
            <w:shd w:val="clear" w:color="auto" w:fill="FFFFFF"/>
          </w:tcPr>
          <w:p w14:paraId="5428DA8E">
            <w:pPr>
              <w:spacing w:line="560" w:lineRule="atLeast"/>
              <w:ind w:firstLine="482" w:firstLineChars="200"/>
              <w:jc w:val="center"/>
              <w:rPr>
                <w:rFonts w:hint="eastAsia" w:ascii="宋体" w:hAnsi="宋体" w:eastAsia="宋体" w:cs="方正仿宋_GB2312"/>
                <w:b/>
                <w:color w:val="000000"/>
                <w:sz w:val="24"/>
                <w:szCs w:val="24"/>
                <w14:ligatures w14:val="standardContextual"/>
              </w:rPr>
            </w:pPr>
            <w:r>
              <w:rPr>
                <w:rFonts w:hint="eastAsia" w:ascii="宋体" w:hAnsi="宋体" w:eastAsia="宋体" w:cs="方正仿宋_GB2312"/>
                <w:b/>
                <w:color w:val="000000"/>
                <w:sz w:val="24"/>
                <w:szCs w:val="24"/>
                <w14:ligatures w14:val="standardContextual"/>
              </w:rPr>
              <w:t>触达渠道</w:t>
            </w:r>
          </w:p>
        </w:tc>
      </w:tr>
      <w:tr w14:paraId="3FD9A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36" w:type="pct"/>
            <w:tcBorders>
              <w:top w:val="single" w:color="000000" w:sz="4" w:space="0"/>
              <w:left w:val="nil"/>
              <w:bottom w:val="nil"/>
              <w:right w:val="nil"/>
            </w:tcBorders>
            <w:shd w:val="clear" w:color="auto" w:fill="FFFFFF"/>
            <w:vAlign w:val="center"/>
          </w:tcPr>
          <w:p w14:paraId="6ABECAA5">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P0(核心)</w:t>
            </w:r>
          </w:p>
        </w:tc>
        <w:tc>
          <w:tcPr>
            <w:tcW w:w="1303" w:type="pct"/>
            <w:tcBorders>
              <w:top w:val="single" w:color="000000" w:sz="4" w:space="0"/>
              <w:left w:val="nil"/>
              <w:bottom w:val="nil"/>
              <w:right w:val="nil"/>
            </w:tcBorders>
            <w:shd w:val="clear" w:color="auto" w:fill="FFFFFF"/>
            <w:vAlign w:val="center"/>
          </w:tcPr>
          <w:p w14:paraId="34711B65">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12-25岁青少年及大学生</w:t>
            </w:r>
          </w:p>
        </w:tc>
        <w:tc>
          <w:tcPr>
            <w:tcW w:w="1406" w:type="pct"/>
            <w:tcBorders>
              <w:top w:val="single" w:color="000000" w:sz="4" w:space="0"/>
              <w:left w:val="nil"/>
              <w:bottom w:val="nil"/>
              <w:right w:val="nil"/>
            </w:tcBorders>
            <w:shd w:val="clear" w:color="auto" w:fill="FFFFFF"/>
            <w:vAlign w:val="center"/>
          </w:tcPr>
          <w:p w14:paraId="7234CA67">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学业压力、社交焦虑、无意识BFRBs</w:t>
            </w:r>
          </w:p>
        </w:tc>
        <w:tc>
          <w:tcPr>
            <w:tcW w:w="1253" w:type="pct"/>
            <w:tcBorders>
              <w:top w:val="single" w:color="000000" w:sz="4" w:space="0"/>
              <w:left w:val="nil"/>
              <w:bottom w:val="nil"/>
              <w:right w:val="nil"/>
            </w:tcBorders>
            <w:shd w:val="clear" w:color="auto" w:fill="FFFFFF"/>
            <w:vAlign w:val="center"/>
          </w:tcPr>
          <w:p w14:paraId="6E45D404">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学校心理中心、</w:t>
            </w:r>
          </w:p>
          <w:p w14:paraId="07E38E60">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B站/小红书/抖音</w:t>
            </w:r>
          </w:p>
        </w:tc>
      </w:tr>
      <w:tr w14:paraId="23D9E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36" w:type="pct"/>
            <w:tcBorders>
              <w:top w:val="nil"/>
              <w:left w:val="nil"/>
              <w:bottom w:val="nil"/>
              <w:right w:val="nil"/>
            </w:tcBorders>
            <w:shd w:val="clear" w:color="auto" w:fill="FFFFFF"/>
            <w:vAlign w:val="center"/>
          </w:tcPr>
          <w:p w14:paraId="1B2EDBF5">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P0(核心)</w:t>
            </w:r>
          </w:p>
        </w:tc>
        <w:tc>
          <w:tcPr>
            <w:tcW w:w="1303" w:type="pct"/>
            <w:tcBorders>
              <w:top w:val="nil"/>
              <w:left w:val="nil"/>
              <w:bottom w:val="nil"/>
              <w:right w:val="nil"/>
            </w:tcBorders>
            <w:shd w:val="clear" w:color="auto" w:fill="FFFFFF"/>
            <w:vAlign w:val="center"/>
          </w:tcPr>
          <w:p w14:paraId="6FB91068">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25-45岁职场人群</w:t>
            </w:r>
          </w:p>
        </w:tc>
        <w:tc>
          <w:tcPr>
            <w:tcW w:w="1406" w:type="pct"/>
            <w:tcBorders>
              <w:top w:val="nil"/>
              <w:left w:val="nil"/>
              <w:bottom w:val="nil"/>
              <w:right w:val="nil"/>
            </w:tcBorders>
            <w:shd w:val="clear" w:color="auto" w:fill="FFFFFF"/>
            <w:vAlign w:val="center"/>
          </w:tcPr>
          <w:p w14:paraId="29B74DC9">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工作压力、职场倦怠、隐性焦虑</w:t>
            </w:r>
          </w:p>
        </w:tc>
        <w:tc>
          <w:tcPr>
            <w:tcW w:w="1253" w:type="pct"/>
            <w:tcBorders>
              <w:top w:val="nil"/>
              <w:left w:val="nil"/>
              <w:bottom w:val="nil"/>
              <w:right w:val="nil"/>
            </w:tcBorders>
            <w:shd w:val="clear" w:color="auto" w:fill="FFFFFF"/>
            <w:vAlign w:val="center"/>
          </w:tcPr>
          <w:p w14:paraId="782FCFFD">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企业EAP、</w:t>
            </w:r>
          </w:p>
          <w:p w14:paraId="5D4B110C">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LinkedIn/知乎</w:t>
            </w:r>
          </w:p>
        </w:tc>
      </w:tr>
      <w:tr w14:paraId="1575F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36" w:type="pct"/>
            <w:tcBorders>
              <w:top w:val="nil"/>
              <w:left w:val="nil"/>
              <w:bottom w:val="nil"/>
              <w:right w:val="nil"/>
            </w:tcBorders>
            <w:shd w:val="clear" w:color="auto" w:fill="FFFFFF"/>
            <w:vAlign w:val="center"/>
          </w:tcPr>
          <w:p w14:paraId="79ACF8FC">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P1(拓展)</w:t>
            </w:r>
          </w:p>
        </w:tc>
        <w:tc>
          <w:tcPr>
            <w:tcW w:w="1303" w:type="pct"/>
            <w:tcBorders>
              <w:top w:val="nil"/>
              <w:left w:val="nil"/>
              <w:bottom w:val="nil"/>
              <w:right w:val="nil"/>
            </w:tcBorders>
            <w:shd w:val="clear" w:color="auto" w:fill="FFFFFF"/>
            <w:vAlign w:val="center"/>
          </w:tcPr>
          <w:p w14:paraId="7BD8D84D">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6-12岁儿童</w:t>
            </w:r>
          </w:p>
        </w:tc>
        <w:tc>
          <w:tcPr>
            <w:tcW w:w="1406" w:type="pct"/>
            <w:tcBorders>
              <w:top w:val="nil"/>
              <w:left w:val="nil"/>
              <w:bottom w:val="nil"/>
              <w:right w:val="nil"/>
            </w:tcBorders>
            <w:shd w:val="clear" w:color="auto" w:fill="FFFFFF"/>
            <w:vAlign w:val="center"/>
          </w:tcPr>
          <w:p w14:paraId="48EEEC72">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分离焦虑、咬指甲、拔毛癖</w:t>
            </w:r>
          </w:p>
        </w:tc>
        <w:tc>
          <w:tcPr>
            <w:tcW w:w="1253" w:type="pct"/>
            <w:tcBorders>
              <w:top w:val="nil"/>
              <w:left w:val="nil"/>
              <w:bottom w:val="nil"/>
              <w:right w:val="nil"/>
            </w:tcBorders>
            <w:shd w:val="clear" w:color="auto" w:fill="FFFFFF"/>
            <w:vAlign w:val="center"/>
          </w:tcPr>
          <w:p w14:paraId="10F1AF9A">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儿童/社保科、</w:t>
            </w:r>
          </w:p>
          <w:p w14:paraId="22EA66C9">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家长社群</w:t>
            </w:r>
          </w:p>
        </w:tc>
      </w:tr>
      <w:tr w14:paraId="6C2B6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36" w:type="pct"/>
            <w:tcBorders>
              <w:top w:val="nil"/>
              <w:left w:val="nil"/>
              <w:bottom w:val="nil"/>
              <w:right w:val="nil"/>
            </w:tcBorders>
            <w:shd w:val="clear" w:color="auto" w:fill="FFFFFF"/>
            <w:vAlign w:val="center"/>
          </w:tcPr>
          <w:p w14:paraId="6A8D87A1">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P1(拓展)</w:t>
            </w:r>
          </w:p>
        </w:tc>
        <w:tc>
          <w:tcPr>
            <w:tcW w:w="1303" w:type="pct"/>
            <w:tcBorders>
              <w:top w:val="nil"/>
              <w:left w:val="nil"/>
              <w:bottom w:val="nil"/>
              <w:right w:val="nil"/>
            </w:tcBorders>
            <w:shd w:val="clear" w:color="auto" w:fill="FFFFFF"/>
            <w:vAlign w:val="center"/>
          </w:tcPr>
          <w:p w14:paraId="5299112A">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60+老年群体</w:t>
            </w:r>
          </w:p>
        </w:tc>
        <w:tc>
          <w:tcPr>
            <w:tcW w:w="1406" w:type="pct"/>
            <w:tcBorders>
              <w:top w:val="nil"/>
              <w:left w:val="nil"/>
              <w:bottom w:val="nil"/>
              <w:right w:val="nil"/>
            </w:tcBorders>
            <w:shd w:val="clear" w:color="auto" w:fill="FFFFFF"/>
            <w:vAlign w:val="center"/>
          </w:tcPr>
          <w:p w14:paraId="553464C1">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老年焦虑、认知退化</w:t>
            </w:r>
          </w:p>
        </w:tc>
        <w:tc>
          <w:tcPr>
            <w:tcW w:w="1253" w:type="pct"/>
            <w:tcBorders>
              <w:top w:val="nil"/>
              <w:left w:val="nil"/>
              <w:bottom w:val="nil"/>
              <w:right w:val="nil"/>
            </w:tcBorders>
            <w:shd w:val="clear" w:color="auto" w:fill="FFFFFF"/>
            <w:vAlign w:val="center"/>
          </w:tcPr>
          <w:p w14:paraId="560A1A8D">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养老机构、</w:t>
            </w:r>
          </w:p>
          <w:p w14:paraId="5CA97647">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社区卫生中心</w:t>
            </w:r>
          </w:p>
        </w:tc>
      </w:tr>
      <w:tr w14:paraId="65062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36" w:type="pct"/>
            <w:tcBorders>
              <w:top w:val="nil"/>
              <w:left w:val="nil"/>
              <w:bottom w:val="nil"/>
              <w:right w:val="nil"/>
            </w:tcBorders>
            <w:shd w:val="clear" w:color="auto" w:fill="FFFFFF"/>
            <w:vAlign w:val="center"/>
          </w:tcPr>
          <w:p w14:paraId="5724DEFD">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P2(B端)</w:t>
            </w:r>
          </w:p>
        </w:tc>
        <w:tc>
          <w:tcPr>
            <w:tcW w:w="1303" w:type="pct"/>
            <w:tcBorders>
              <w:top w:val="nil"/>
              <w:left w:val="nil"/>
              <w:bottom w:val="nil"/>
              <w:right w:val="nil"/>
            </w:tcBorders>
            <w:shd w:val="clear" w:color="auto" w:fill="FFFFFF"/>
            <w:vAlign w:val="center"/>
          </w:tcPr>
          <w:p w14:paraId="3C8B65DA">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临床机构（精神科/心理科）</w:t>
            </w:r>
          </w:p>
        </w:tc>
        <w:tc>
          <w:tcPr>
            <w:tcW w:w="1406" w:type="pct"/>
            <w:tcBorders>
              <w:top w:val="nil"/>
              <w:left w:val="nil"/>
              <w:bottom w:val="nil"/>
              <w:right w:val="nil"/>
            </w:tcBorders>
            <w:shd w:val="clear" w:color="auto" w:fill="FFFFFF"/>
            <w:vAlign w:val="center"/>
          </w:tcPr>
          <w:p w14:paraId="4ACF4325">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缺乏客观量化工具</w:t>
            </w:r>
          </w:p>
        </w:tc>
        <w:tc>
          <w:tcPr>
            <w:tcW w:w="1253" w:type="pct"/>
            <w:tcBorders>
              <w:top w:val="nil"/>
              <w:left w:val="nil"/>
              <w:bottom w:val="nil"/>
              <w:right w:val="nil"/>
            </w:tcBorders>
            <w:shd w:val="clear" w:color="auto" w:fill="FFFFFF"/>
            <w:vAlign w:val="center"/>
          </w:tcPr>
          <w:p w14:paraId="0C4FD250">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学术会议、</w:t>
            </w:r>
          </w:p>
          <w:p w14:paraId="6D4401CE">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医疗展会</w:t>
            </w:r>
          </w:p>
        </w:tc>
      </w:tr>
      <w:tr w14:paraId="5E364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36" w:type="pct"/>
            <w:tcBorders>
              <w:top w:val="nil"/>
              <w:left w:val="nil"/>
              <w:bottom w:val="single" w:color="000000" w:sz="12" w:space="0"/>
              <w:right w:val="nil"/>
            </w:tcBorders>
            <w:shd w:val="clear" w:color="auto" w:fill="FFFFFF"/>
            <w:vAlign w:val="center"/>
          </w:tcPr>
          <w:p w14:paraId="37D044B2">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P2(B端)</w:t>
            </w:r>
          </w:p>
        </w:tc>
        <w:tc>
          <w:tcPr>
            <w:tcW w:w="1303" w:type="pct"/>
            <w:tcBorders>
              <w:top w:val="nil"/>
              <w:left w:val="nil"/>
              <w:bottom w:val="single" w:color="000000" w:sz="12" w:space="0"/>
              <w:right w:val="nil"/>
            </w:tcBorders>
            <w:shd w:val="clear" w:color="auto" w:fill="FFFFFF"/>
            <w:vAlign w:val="center"/>
          </w:tcPr>
          <w:p w14:paraId="4BE833D6">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学校/企业/机构</w:t>
            </w:r>
          </w:p>
        </w:tc>
        <w:tc>
          <w:tcPr>
            <w:tcW w:w="1406" w:type="pct"/>
            <w:tcBorders>
              <w:top w:val="nil"/>
              <w:left w:val="nil"/>
              <w:bottom w:val="single" w:color="000000" w:sz="12" w:space="0"/>
              <w:right w:val="nil"/>
            </w:tcBorders>
            <w:shd w:val="clear" w:color="auto" w:fill="FFFFFF"/>
            <w:vAlign w:val="center"/>
          </w:tcPr>
          <w:p w14:paraId="2619640C">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群体心理、健康管理</w:t>
            </w:r>
          </w:p>
        </w:tc>
        <w:tc>
          <w:tcPr>
            <w:tcW w:w="1253" w:type="pct"/>
            <w:tcBorders>
              <w:top w:val="nil"/>
              <w:left w:val="nil"/>
              <w:bottom w:val="single" w:color="000000" w:sz="12" w:space="0"/>
              <w:right w:val="nil"/>
            </w:tcBorders>
            <w:shd w:val="clear" w:color="auto" w:fill="FFFFFF"/>
            <w:vAlign w:val="center"/>
          </w:tcPr>
          <w:p w14:paraId="371FE8E4">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招标会、行业协会</w:t>
            </w:r>
          </w:p>
        </w:tc>
      </w:tr>
    </w:tbl>
    <w:p w14:paraId="632B192C">
      <w:pPr>
        <w:spacing w:line="560" w:lineRule="atLeast"/>
        <w:ind w:firstLine="480" w:firstLineChars="200"/>
        <w:rPr>
          <w:rFonts w:hint="eastAsia" w:ascii="宋体" w:hAnsi="宋体" w:eastAsia="宋体" w:cs="方正仿宋_GB2312"/>
          <w:sz w:val="24"/>
          <w:szCs w:val="24"/>
        </w:rPr>
      </w:pPr>
      <w:r>
        <w:rPr>
          <w:rFonts w:hint="eastAsia" w:ascii="宋体" w:hAnsi="宋体" w:eastAsia="宋体" w:cs="方正仿宋_GB2312"/>
          <w:sz w:val="24"/>
          <w:szCs w:val="24"/>
        </w:rPr>
        <w:t>设计理念：P0群体是产品的“原点用户”——他们处于BFRBs的高发期，同时年轻、对科技接受度高。通过服务他们，我们积累数据与口碑，再自然延伸至P1儿童和老年群体，以及P2机构端。</w:t>
      </w:r>
    </w:p>
    <w:p w14:paraId="077197C3">
      <w:pPr>
        <w:spacing w:line="560" w:lineRule="atLeast"/>
        <w:ind w:firstLine="482" w:firstLineChars="200"/>
        <w:outlineLvl w:val="1"/>
        <w:rPr>
          <w:rFonts w:hint="eastAsia" w:ascii="宋体" w:hAnsi="宋体" w:eastAsia="宋体" w:cs="方正仿宋_GB2312"/>
          <w:sz w:val="24"/>
          <w:szCs w:val="24"/>
        </w:rPr>
      </w:pPr>
      <w:bookmarkStart w:id="61" w:name="_Toc232355805"/>
      <w:r>
        <w:rPr>
          <w:rFonts w:hint="eastAsia" w:ascii="宋体" w:hAnsi="宋体" w:eastAsia="宋体" w:cs="方正楷体_GB2312"/>
          <w:b/>
          <w:bCs/>
          <w:sz w:val="24"/>
          <w:szCs w:val="24"/>
        </w:rPr>
        <w:t>5.3 竞争格局分析</w:t>
      </w:r>
      <w:bookmarkEnd w:id="61"/>
    </w:p>
    <w:p w14:paraId="2BD7C119">
      <w:pPr>
        <w:spacing w:line="560" w:lineRule="atLeast"/>
        <w:ind w:firstLine="480" w:firstLineChars="200"/>
        <w:rPr>
          <w:rFonts w:hint="eastAsia" w:ascii="宋体" w:hAnsi="宋体" w:eastAsia="宋体" w:cs="方正仿宋_GB2312"/>
          <w:sz w:val="24"/>
          <w:szCs w:val="24"/>
        </w:rPr>
      </w:pPr>
      <w:r>
        <w:rPr>
          <w:rFonts w:hint="eastAsia" w:ascii="宋体" w:hAnsi="宋体" w:eastAsia="宋体" w:cs="方正仿宋_GB2312"/>
          <w:sz w:val="24"/>
          <w:szCs w:val="24"/>
        </w:rPr>
        <w:t>我们将市场上的相关产品分为四类，并与“心安动识”进行对标：</w:t>
      </w:r>
    </w:p>
    <w:tbl>
      <w:tblPr>
        <w:tblStyle w:val="26"/>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6"/>
        <w:gridCol w:w="1428"/>
        <w:gridCol w:w="1504"/>
        <w:gridCol w:w="1422"/>
        <w:gridCol w:w="1422"/>
        <w:gridCol w:w="1459"/>
      </w:tblGrid>
      <w:tr w14:paraId="5490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1516" w:type="dxa"/>
            <w:tcBorders>
              <w:top w:val="single" w:color="000000" w:sz="12" w:space="0"/>
              <w:left w:val="nil"/>
              <w:bottom w:val="single" w:color="000000" w:sz="4" w:space="0"/>
              <w:right w:val="nil"/>
              <w:tl2br w:val="nil"/>
            </w:tcBorders>
            <w:shd w:val="clear" w:color="auto" w:fill="FFFFFF"/>
            <w:vAlign w:val="center"/>
          </w:tcPr>
          <w:p w14:paraId="0F17AAD6">
            <w:pPr>
              <w:spacing w:line="560" w:lineRule="atLeast"/>
              <w:ind w:firstLine="482" w:firstLineChars="200"/>
              <w:jc w:val="center"/>
              <w:rPr>
                <w:rFonts w:hint="eastAsia" w:ascii="宋体" w:hAnsi="宋体" w:eastAsia="宋体" w:cs="方正仿宋_GB2312"/>
                <w:b/>
                <w:color w:val="000000"/>
                <w:sz w:val="24"/>
                <w:szCs w:val="24"/>
                <w14:ligatures w14:val="standardContextual"/>
              </w:rPr>
            </w:pPr>
            <w:r>
              <w:rPr>
                <w:rFonts w:hint="eastAsia" w:ascii="宋体" w:hAnsi="宋体" w:eastAsia="宋体" w:cs="方正仿宋_GB2312"/>
                <w:b/>
                <w:color w:val="000000"/>
                <w:sz w:val="24"/>
                <w:szCs w:val="24"/>
                <w14:ligatures w14:val="standardContextual"/>
              </w:rPr>
              <w:t>竞品</w:t>
            </w:r>
          </w:p>
        </w:tc>
        <w:tc>
          <w:tcPr>
            <w:tcW w:w="1516" w:type="dxa"/>
            <w:tcBorders>
              <w:top w:val="single" w:color="000000" w:sz="12" w:space="0"/>
              <w:left w:val="nil"/>
              <w:bottom w:val="single" w:color="000000" w:sz="4" w:space="0"/>
              <w:right w:val="nil"/>
            </w:tcBorders>
            <w:shd w:val="clear" w:color="auto" w:fill="FFFFFF"/>
            <w:vAlign w:val="center"/>
          </w:tcPr>
          <w:p w14:paraId="1A01838D">
            <w:pPr>
              <w:spacing w:line="560" w:lineRule="atLeast"/>
              <w:ind w:firstLine="482" w:firstLineChars="200"/>
              <w:jc w:val="center"/>
              <w:rPr>
                <w:rFonts w:hint="eastAsia" w:ascii="宋体" w:hAnsi="宋体" w:eastAsia="宋体" w:cs="方正仿宋_GB2312"/>
                <w:b/>
                <w:color w:val="000000"/>
                <w:sz w:val="24"/>
                <w:szCs w:val="24"/>
                <w14:ligatures w14:val="standardContextual"/>
              </w:rPr>
            </w:pPr>
            <w:r>
              <w:rPr>
                <w:rFonts w:hint="eastAsia" w:ascii="宋体" w:hAnsi="宋体" w:eastAsia="宋体" w:cs="方正仿宋_GB2312"/>
                <w:b/>
                <w:color w:val="000000"/>
                <w:sz w:val="24"/>
                <w:szCs w:val="24"/>
                <w14:ligatures w14:val="standardContextual"/>
              </w:rPr>
              <w:t>类型</w:t>
            </w:r>
          </w:p>
        </w:tc>
        <w:tc>
          <w:tcPr>
            <w:tcW w:w="1509" w:type="dxa"/>
            <w:tcBorders>
              <w:top w:val="single" w:color="000000" w:sz="12" w:space="0"/>
              <w:left w:val="nil"/>
              <w:bottom w:val="single" w:color="000000" w:sz="4" w:space="0"/>
              <w:right w:val="nil"/>
            </w:tcBorders>
            <w:shd w:val="clear" w:color="auto" w:fill="FFFFFF"/>
            <w:vAlign w:val="center"/>
          </w:tcPr>
          <w:p w14:paraId="4720675A">
            <w:pPr>
              <w:spacing w:line="560" w:lineRule="atLeast"/>
              <w:ind w:firstLine="482" w:firstLineChars="200"/>
              <w:jc w:val="center"/>
              <w:rPr>
                <w:rFonts w:hint="eastAsia" w:ascii="宋体" w:hAnsi="宋体" w:eastAsia="宋体" w:cs="方正仿宋_GB2312"/>
                <w:b/>
                <w:color w:val="000000"/>
                <w:sz w:val="24"/>
                <w:szCs w:val="24"/>
                <w14:ligatures w14:val="standardContextual"/>
              </w:rPr>
            </w:pPr>
            <w:r>
              <w:rPr>
                <w:rFonts w:hint="eastAsia" w:ascii="宋体" w:hAnsi="宋体" w:eastAsia="宋体" w:cs="方正仿宋_GB2312"/>
                <w:b/>
                <w:color w:val="000000"/>
                <w:sz w:val="24"/>
                <w:szCs w:val="24"/>
                <w14:ligatures w14:val="standardContextual"/>
              </w:rPr>
              <w:t>核心技术</w:t>
            </w:r>
          </w:p>
        </w:tc>
        <w:tc>
          <w:tcPr>
            <w:tcW w:w="1509" w:type="dxa"/>
            <w:tcBorders>
              <w:top w:val="single" w:color="000000" w:sz="12" w:space="0"/>
              <w:left w:val="nil"/>
              <w:bottom w:val="single" w:color="000000" w:sz="4" w:space="0"/>
              <w:right w:val="nil"/>
            </w:tcBorders>
            <w:shd w:val="clear" w:color="auto" w:fill="FFFFFF"/>
          </w:tcPr>
          <w:p w14:paraId="4129CB33">
            <w:pPr>
              <w:spacing w:line="560" w:lineRule="atLeast"/>
              <w:ind w:firstLine="482" w:firstLineChars="200"/>
              <w:jc w:val="center"/>
              <w:rPr>
                <w:rFonts w:hint="eastAsia" w:ascii="宋体" w:hAnsi="宋体" w:eastAsia="宋体" w:cs="方正仿宋_GB2312"/>
                <w:b/>
                <w:color w:val="000000"/>
                <w:sz w:val="24"/>
                <w:szCs w:val="24"/>
                <w14:ligatures w14:val="standardContextual"/>
              </w:rPr>
            </w:pPr>
            <w:r>
              <w:rPr>
                <w:rFonts w:hint="eastAsia" w:ascii="宋体" w:hAnsi="宋体" w:eastAsia="宋体" w:cs="方正仿宋_GB2312"/>
                <w:b/>
                <w:color w:val="000000"/>
                <w:sz w:val="24"/>
                <w:szCs w:val="24"/>
                <w14:ligatures w14:val="standardContextual"/>
              </w:rPr>
              <w:t>优势</w:t>
            </w:r>
          </w:p>
        </w:tc>
        <w:tc>
          <w:tcPr>
            <w:tcW w:w="1509" w:type="dxa"/>
            <w:tcBorders>
              <w:top w:val="single" w:color="000000" w:sz="12" w:space="0"/>
              <w:left w:val="nil"/>
              <w:bottom w:val="single" w:color="000000" w:sz="4" w:space="0"/>
              <w:right w:val="nil"/>
            </w:tcBorders>
            <w:shd w:val="clear" w:color="auto" w:fill="FFFFFF"/>
          </w:tcPr>
          <w:p w14:paraId="7B6545C1">
            <w:pPr>
              <w:spacing w:line="560" w:lineRule="atLeast"/>
              <w:ind w:firstLine="482" w:firstLineChars="200"/>
              <w:jc w:val="center"/>
              <w:rPr>
                <w:rFonts w:hint="eastAsia" w:ascii="宋体" w:hAnsi="宋体" w:eastAsia="宋体" w:cs="方正仿宋_GB2312"/>
                <w:b/>
                <w:color w:val="000000"/>
                <w:sz w:val="24"/>
                <w:szCs w:val="24"/>
                <w14:ligatures w14:val="standardContextual"/>
              </w:rPr>
            </w:pPr>
            <w:r>
              <w:rPr>
                <w:rFonts w:hint="eastAsia" w:ascii="宋体" w:hAnsi="宋体" w:eastAsia="宋体" w:cs="方正仿宋_GB2312"/>
                <w:b/>
                <w:color w:val="000000"/>
                <w:sz w:val="24"/>
                <w:szCs w:val="24"/>
                <w14:ligatures w14:val="standardContextual"/>
              </w:rPr>
              <w:t>劣势</w:t>
            </w:r>
          </w:p>
        </w:tc>
        <w:tc>
          <w:tcPr>
            <w:tcW w:w="1512" w:type="dxa"/>
            <w:tcBorders>
              <w:top w:val="single" w:color="000000" w:sz="12" w:space="0"/>
              <w:left w:val="nil"/>
              <w:bottom w:val="single" w:color="000000" w:sz="4" w:space="0"/>
              <w:right w:val="nil"/>
            </w:tcBorders>
            <w:shd w:val="clear" w:color="auto" w:fill="FFFFFF"/>
          </w:tcPr>
          <w:p w14:paraId="77320255">
            <w:pPr>
              <w:spacing w:line="560" w:lineRule="atLeast"/>
              <w:ind w:firstLine="482" w:firstLineChars="200"/>
              <w:jc w:val="center"/>
              <w:rPr>
                <w:rFonts w:hint="eastAsia" w:ascii="宋体" w:hAnsi="宋体" w:eastAsia="宋体" w:cs="方正仿宋_GB2312"/>
                <w:b/>
                <w:color w:val="000000"/>
                <w:sz w:val="24"/>
                <w:szCs w:val="24"/>
                <w14:ligatures w14:val="standardContextual"/>
              </w:rPr>
            </w:pPr>
            <w:r>
              <w:rPr>
                <w:rFonts w:hint="eastAsia" w:ascii="宋体" w:hAnsi="宋体" w:eastAsia="宋体" w:cs="方正仿宋_GB2312"/>
                <w:b/>
                <w:color w:val="000000"/>
                <w:sz w:val="24"/>
                <w:szCs w:val="24"/>
                <w14:ligatures w14:val="standardContextual"/>
              </w:rPr>
              <w:t>如何超越</w:t>
            </w:r>
          </w:p>
        </w:tc>
      </w:tr>
      <w:tr w14:paraId="63E4A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0" w:hRule="atLeast"/>
          <w:jc w:val="center"/>
        </w:trPr>
        <w:tc>
          <w:tcPr>
            <w:tcW w:w="1516" w:type="dxa"/>
            <w:tcBorders>
              <w:top w:val="single" w:color="000000" w:sz="4" w:space="0"/>
              <w:left w:val="nil"/>
              <w:bottom w:val="nil"/>
              <w:right w:val="nil"/>
            </w:tcBorders>
            <w:shd w:val="clear" w:color="auto" w:fill="FFFFFF"/>
            <w:vAlign w:val="center"/>
          </w:tcPr>
          <w:p w14:paraId="44FBB4F6">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HabitAware Keen</w:t>
            </w:r>
          </w:p>
        </w:tc>
        <w:tc>
          <w:tcPr>
            <w:tcW w:w="1516" w:type="dxa"/>
            <w:tcBorders>
              <w:top w:val="single" w:color="000000" w:sz="4" w:space="0"/>
              <w:left w:val="nil"/>
              <w:bottom w:val="nil"/>
              <w:right w:val="nil"/>
            </w:tcBorders>
            <w:shd w:val="clear" w:color="auto" w:fill="FFFFFF"/>
            <w:vAlign w:val="center"/>
          </w:tcPr>
          <w:p w14:paraId="075A276C">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智能手环</w:t>
            </w:r>
          </w:p>
        </w:tc>
        <w:tc>
          <w:tcPr>
            <w:tcW w:w="1509" w:type="dxa"/>
            <w:tcBorders>
              <w:top w:val="single" w:color="000000" w:sz="4" w:space="0"/>
              <w:left w:val="nil"/>
              <w:bottom w:val="nil"/>
              <w:right w:val="nil"/>
            </w:tcBorders>
            <w:shd w:val="clear" w:color="auto" w:fill="FFFFFF"/>
            <w:vAlign w:val="center"/>
          </w:tcPr>
          <w:p w14:paraId="28A71CD9">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单一IMU+振动提醒</w:t>
            </w:r>
          </w:p>
        </w:tc>
        <w:tc>
          <w:tcPr>
            <w:tcW w:w="1509" w:type="dxa"/>
            <w:tcBorders>
              <w:top w:val="single" w:color="000000" w:sz="4" w:space="0"/>
              <w:left w:val="nil"/>
              <w:bottom w:val="nil"/>
              <w:right w:val="nil"/>
            </w:tcBorders>
            <w:shd w:val="clear" w:color="auto" w:fill="FFFFFF"/>
            <w:vAlign w:val="center"/>
          </w:tcPr>
          <w:p w14:paraId="2E0A76AB">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首创BFRB可穿戴</w:t>
            </w:r>
          </w:p>
        </w:tc>
        <w:tc>
          <w:tcPr>
            <w:tcW w:w="1509" w:type="dxa"/>
            <w:tcBorders>
              <w:top w:val="single" w:color="000000" w:sz="4" w:space="0"/>
              <w:left w:val="nil"/>
              <w:bottom w:val="nil"/>
              <w:right w:val="nil"/>
            </w:tcBorders>
            <w:shd w:val="clear" w:color="auto" w:fill="FFFFFF"/>
            <w:vAlign w:val="center"/>
          </w:tcPr>
          <w:p w14:paraId="62773CAF">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仅检测单一行为、无视觉识别和疗愈功能</w:t>
            </w:r>
          </w:p>
        </w:tc>
        <w:tc>
          <w:tcPr>
            <w:tcW w:w="1512" w:type="dxa"/>
            <w:tcBorders>
              <w:top w:val="single" w:color="000000" w:sz="4" w:space="0"/>
              <w:left w:val="nil"/>
              <w:bottom w:val="nil"/>
              <w:right w:val="nil"/>
            </w:tcBorders>
            <w:shd w:val="clear" w:color="auto" w:fill="FFFFFF"/>
            <w:vAlign w:val="center"/>
          </w:tcPr>
          <w:p w14:paraId="135FF91E">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多模态融合+视觉+疗愈闭环</w:t>
            </w:r>
          </w:p>
        </w:tc>
      </w:tr>
      <w:tr w14:paraId="1672E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jc w:val="center"/>
        </w:trPr>
        <w:tc>
          <w:tcPr>
            <w:tcW w:w="1516" w:type="dxa"/>
            <w:tcBorders>
              <w:top w:val="nil"/>
              <w:left w:val="nil"/>
              <w:bottom w:val="nil"/>
              <w:right w:val="nil"/>
            </w:tcBorders>
            <w:shd w:val="clear" w:color="auto" w:fill="FFFFFF"/>
            <w:vAlign w:val="center"/>
          </w:tcPr>
          <w:p w14:paraId="567A1999">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Spire Health Tag</w:t>
            </w:r>
          </w:p>
        </w:tc>
        <w:tc>
          <w:tcPr>
            <w:tcW w:w="1516" w:type="dxa"/>
            <w:tcBorders>
              <w:top w:val="nil"/>
              <w:left w:val="nil"/>
              <w:bottom w:val="nil"/>
              <w:right w:val="nil"/>
            </w:tcBorders>
            <w:shd w:val="clear" w:color="auto" w:fill="FFFFFF"/>
            <w:vAlign w:val="center"/>
          </w:tcPr>
          <w:p w14:paraId="2534DE39">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可穿戴贴片</w:t>
            </w:r>
          </w:p>
        </w:tc>
        <w:tc>
          <w:tcPr>
            <w:tcW w:w="1509" w:type="dxa"/>
            <w:tcBorders>
              <w:top w:val="nil"/>
              <w:left w:val="nil"/>
              <w:bottom w:val="nil"/>
              <w:right w:val="nil"/>
            </w:tcBorders>
            <w:shd w:val="clear" w:color="auto" w:fill="FFFFFF"/>
            <w:vAlign w:val="center"/>
          </w:tcPr>
          <w:p w14:paraId="783DE9CD">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呼吸+心率监测</w:t>
            </w:r>
          </w:p>
        </w:tc>
        <w:tc>
          <w:tcPr>
            <w:tcW w:w="1509" w:type="dxa"/>
            <w:tcBorders>
              <w:top w:val="nil"/>
              <w:left w:val="nil"/>
              <w:bottom w:val="nil"/>
              <w:right w:val="nil"/>
            </w:tcBorders>
            <w:shd w:val="clear" w:color="auto" w:fill="FFFFFF"/>
            <w:vAlign w:val="center"/>
          </w:tcPr>
          <w:p w14:paraId="7A3F470B">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无感佩戴</w:t>
            </w:r>
          </w:p>
        </w:tc>
        <w:tc>
          <w:tcPr>
            <w:tcW w:w="1509" w:type="dxa"/>
            <w:tcBorders>
              <w:top w:val="nil"/>
              <w:left w:val="nil"/>
              <w:bottom w:val="nil"/>
              <w:right w:val="nil"/>
            </w:tcBorders>
            <w:shd w:val="clear" w:color="auto" w:fill="FFFFFF"/>
            <w:vAlign w:val="center"/>
          </w:tcPr>
          <w:p w14:paraId="68956EA6">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无法识别具体行为、已停更</w:t>
            </w:r>
          </w:p>
        </w:tc>
        <w:tc>
          <w:tcPr>
            <w:tcW w:w="1512" w:type="dxa"/>
            <w:tcBorders>
              <w:top w:val="nil"/>
              <w:left w:val="nil"/>
              <w:bottom w:val="nil"/>
              <w:right w:val="nil"/>
            </w:tcBorders>
            <w:shd w:val="clear" w:color="auto" w:fill="FFFFFF"/>
            <w:vAlign w:val="center"/>
          </w:tcPr>
          <w:p w14:paraId="47C2C7AC">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精准行为分类+情感量化</w:t>
            </w:r>
          </w:p>
        </w:tc>
      </w:tr>
      <w:tr w14:paraId="36B41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16" w:type="dxa"/>
            <w:tcBorders>
              <w:top w:val="nil"/>
              <w:left w:val="nil"/>
              <w:bottom w:val="nil"/>
              <w:right w:val="nil"/>
            </w:tcBorders>
            <w:shd w:val="clear" w:color="auto" w:fill="FFFFFF"/>
            <w:vAlign w:val="center"/>
          </w:tcPr>
          <w:p w14:paraId="50B50C98">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Woebot AI</w:t>
            </w:r>
          </w:p>
          <w:p w14:paraId="4CB0F3FE">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聊天机器人</w:t>
            </w:r>
          </w:p>
        </w:tc>
        <w:tc>
          <w:tcPr>
            <w:tcW w:w="1516" w:type="dxa"/>
            <w:tcBorders>
              <w:top w:val="nil"/>
              <w:left w:val="nil"/>
              <w:bottom w:val="nil"/>
              <w:right w:val="nil"/>
            </w:tcBorders>
            <w:shd w:val="clear" w:color="auto" w:fill="FFFFFF"/>
            <w:vAlign w:val="center"/>
          </w:tcPr>
          <w:p w14:paraId="3B8D29C5">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AI聊天机器人</w:t>
            </w:r>
          </w:p>
        </w:tc>
        <w:tc>
          <w:tcPr>
            <w:tcW w:w="1509" w:type="dxa"/>
            <w:tcBorders>
              <w:top w:val="nil"/>
              <w:left w:val="nil"/>
              <w:bottom w:val="nil"/>
              <w:right w:val="nil"/>
            </w:tcBorders>
            <w:shd w:val="clear" w:color="auto" w:fill="FFFFFF"/>
            <w:vAlign w:val="center"/>
          </w:tcPr>
          <w:p w14:paraId="318843E2">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NLP+CBT对话</w:t>
            </w:r>
          </w:p>
        </w:tc>
        <w:tc>
          <w:tcPr>
            <w:tcW w:w="1509" w:type="dxa"/>
            <w:tcBorders>
              <w:top w:val="nil"/>
              <w:left w:val="nil"/>
              <w:bottom w:val="nil"/>
              <w:right w:val="nil"/>
            </w:tcBorders>
            <w:shd w:val="clear" w:color="auto" w:fill="FFFFFF"/>
            <w:vAlign w:val="center"/>
          </w:tcPr>
          <w:p w14:paraId="53A0FC5C">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纯数字疗法</w:t>
            </w:r>
          </w:p>
        </w:tc>
        <w:tc>
          <w:tcPr>
            <w:tcW w:w="1509" w:type="dxa"/>
            <w:tcBorders>
              <w:top w:val="nil"/>
              <w:left w:val="nil"/>
              <w:bottom w:val="nil"/>
              <w:right w:val="nil"/>
            </w:tcBorders>
            <w:shd w:val="clear" w:color="auto" w:fill="FFFFFF"/>
            <w:vAlign w:val="center"/>
          </w:tcPr>
          <w:p w14:paraId="61FE254B">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无行为识别能力</w:t>
            </w:r>
          </w:p>
        </w:tc>
        <w:tc>
          <w:tcPr>
            <w:tcW w:w="1512" w:type="dxa"/>
            <w:tcBorders>
              <w:top w:val="nil"/>
              <w:left w:val="nil"/>
              <w:bottom w:val="nil"/>
              <w:right w:val="nil"/>
            </w:tcBorders>
            <w:shd w:val="clear" w:color="auto" w:fill="FFFFFF"/>
            <w:vAlign w:val="center"/>
          </w:tcPr>
          <w:p w14:paraId="6DE9A036">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“识别+疗愈”双引擎</w:t>
            </w:r>
          </w:p>
        </w:tc>
      </w:tr>
      <w:tr w14:paraId="373AF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516" w:type="dxa"/>
            <w:tcBorders>
              <w:top w:val="nil"/>
              <w:left w:val="nil"/>
              <w:bottom w:val="single" w:color="000000" w:sz="12" w:space="0"/>
              <w:right w:val="nil"/>
            </w:tcBorders>
            <w:shd w:val="clear" w:color="auto" w:fill="FFFFFF"/>
            <w:vAlign w:val="center"/>
          </w:tcPr>
          <w:p w14:paraId="36A3D4F1">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国内心理健康APP（壹心理等）</w:t>
            </w:r>
          </w:p>
        </w:tc>
        <w:tc>
          <w:tcPr>
            <w:tcW w:w="1516" w:type="dxa"/>
            <w:tcBorders>
              <w:top w:val="nil"/>
              <w:left w:val="nil"/>
              <w:bottom w:val="single" w:color="000000" w:sz="12" w:space="0"/>
              <w:right w:val="nil"/>
            </w:tcBorders>
            <w:shd w:val="clear" w:color="auto" w:fill="FFFFFF"/>
            <w:vAlign w:val="center"/>
          </w:tcPr>
          <w:p w14:paraId="462CF552">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在线咨询</w:t>
            </w:r>
          </w:p>
        </w:tc>
        <w:tc>
          <w:tcPr>
            <w:tcW w:w="1509" w:type="dxa"/>
            <w:tcBorders>
              <w:top w:val="nil"/>
              <w:left w:val="nil"/>
              <w:bottom w:val="single" w:color="000000" w:sz="12" w:space="0"/>
              <w:right w:val="nil"/>
            </w:tcBorders>
            <w:shd w:val="clear" w:color="auto" w:fill="FFFFFF"/>
            <w:vAlign w:val="center"/>
          </w:tcPr>
          <w:p w14:paraId="45CC277A">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人工匹配</w:t>
            </w:r>
          </w:p>
        </w:tc>
        <w:tc>
          <w:tcPr>
            <w:tcW w:w="1509" w:type="dxa"/>
            <w:tcBorders>
              <w:top w:val="nil"/>
              <w:left w:val="nil"/>
              <w:bottom w:val="single" w:color="000000" w:sz="12" w:space="0"/>
              <w:right w:val="nil"/>
            </w:tcBorders>
            <w:shd w:val="clear" w:color="auto" w:fill="FFFFFF"/>
            <w:vAlign w:val="center"/>
          </w:tcPr>
          <w:p w14:paraId="4413413F">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用户基数大</w:t>
            </w:r>
          </w:p>
        </w:tc>
        <w:tc>
          <w:tcPr>
            <w:tcW w:w="1509" w:type="dxa"/>
            <w:tcBorders>
              <w:top w:val="nil"/>
              <w:left w:val="nil"/>
              <w:bottom w:val="single" w:color="000000" w:sz="12" w:space="0"/>
              <w:right w:val="nil"/>
            </w:tcBorders>
            <w:shd w:val="clear" w:color="auto" w:fill="FFFFFF"/>
            <w:vAlign w:val="center"/>
          </w:tcPr>
          <w:p w14:paraId="31BAE421">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无硬件能力、无AI行为识别</w:t>
            </w:r>
          </w:p>
        </w:tc>
        <w:tc>
          <w:tcPr>
            <w:tcW w:w="1512" w:type="dxa"/>
            <w:tcBorders>
              <w:top w:val="nil"/>
              <w:left w:val="nil"/>
              <w:bottom w:val="single" w:color="000000" w:sz="12" w:space="0"/>
              <w:right w:val="nil"/>
            </w:tcBorders>
            <w:shd w:val="clear" w:color="auto" w:fill="FFFFFF"/>
            <w:vAlign w:val="center"/>
          </w:tcPr>
          <w:p w14:paraId="69CEA273">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软硬一体+AI驱动</w:t>
            </w:r>
          </w:p>
        </w:tc>
      </w:tr>
    </w:tbl>
    <w:p w14:paraId="6BDC087F">
      <w:pPr>
        <w:spacing w:line="560" w:lineRule="atLeast"/>
        <w:ind w:firstLine="480" w:firstLineChars="200"/>
        <w:rPr>
          <w:rFonts w:hint="eastAsia" w:ascii="宋体" w:hAnsi="宋体" w:eastAsia="宋体" w:cs="方正仿宋_GB2312"/>
          <w:sz w:val="24"/>
          <w:szCs w:val="24"/>
        </w:rPr>
      </w:pPr>
      <w:r>
        <w:rPr>
          <w:rFonts w:hint="eastAsia" w:ascii="宋体" w:hAnsi="宋体" w:eastAsia="宋体" w:cs="方正仿宋_GB2312"/>
          <w:sz w:val="24"/>
          <w:szCs w:val="24"/>
        </w:rPr>
        <w:t>核心竞争策略：我们不做“更好的手环”，也不做“另一个聊天机器人”。我们将硬件感知与软件疗愈深度融合，形成“监测-分析-干预-康复”的闭环体验，这是任何单一类型竞品都无法提供的结构性优势。</w:t>
      </w:r>
    </w:p>
    <w:p w14:paraId="733EF1D6">
      <w:pPr>
        <w:spacing w:line="560" w:lineRule="atLeast"/>
        <w:ind w:firstLine="482" w:firstLineChars="200"/>
        <w:outlineLvl w:val="1"/>
        <w:rPr>
          <w:rFonts w:hint="eastAsia" w:ascii="宋体" w:hAnsi="宋体" w:eastAsia="宋体" w:cs="方正楷体_GB2312"/>
          <w:b/>
          <w:bCs/>
          <w:sz w:val="24"/>
          <w:szCs w:val="24"/>
        </w:rPr>
      </w:pPr>
      <w:bookmarkStart w:id="62" w:name="_Toc232355806"/>
      <w:r>
        <w:rPr>
          <w:rFonts w:hint="eastAsia" w:ascii="宋体" w:hAnsi="宋体" w:eastAsia="宋体" w:cs="方正楷体_GB2312"/>
          <w:b/>
          <w:bCs/>
          <w:sz w:val="24"/>
          <w:szCs w:val="24"/>
        </w:rPr>
        <w:t>5.4 用户需求验证</w:t>
      </w:r>
      <w:bookmarkEnd w:id="62"/>
    </w:p>
    <w:p w14:paraId="50D088C4">
      <w:pPr>
        <w:spacing w:line="560" w:lineRule="atLeast"/>
        <w:ind w:firstLine="480" w:firstLineChars="200"/>
        <w:rPr>
          <w:rFonts w:hint="eastAsia" w:ascii="宋体" w:hAnsi="宋体" w:eastAsia="宋体" w:cs="方正仿宋_GB2312"/>
          <w:sz w:val="24"/>
          <w:szCs w:val="24"/>
        </w:rPr>
      </w:pPr>
      <w:r>
        <w:rPr>
          <w:rFonts w:hint="eastAsia" w:ascii="宋体" w:hAnsi="宋体" w:eastAsia="宋体" w:cs="方正仿宋_GB2312"/>
          <w:sz w:val="24"/>
          <w:szCs w:val="24"/>
        </w:rPr>
        <w:t>数据会说话，但用户的感受更真实。在项目启动阶段，我们进行了一轮针对目标人群的定量调研。</w:t>
      </w:r>
    </w:p>
    <w:p w14:paraId="6B1BA1F0">
      <w:pPr>
        <w:spacing w:line="560" w:lineRule="atLeast"/>
        <w:ind w:firstLine="480" w:firstLineChars="200"/>
        <w:rPr>
          <w:rFonts w:hint="eastAsia" w:ascii="宋体" w:hAnsi="宋体" w:eastAsia="宋体" w:cs="方正仿宋_GB2312"/>
          <w:sz w:val="24"/>
          <w:szCs w:val="24"/>
        </w:rPr>
      </w:pPr>
      <w:r>
        <w:rPr>
          <w:rFonts w:hint="eastAsia" w:ascii="宋体" w:hAnsi="宋体" w:eastAsia="宋体" w:cs="方正仿宋_GB2312"/>
          <w:sz w:val="24"/>
          <w:szCs w:val="24"/>
        </w:rPr>
        <w:t>调研样本：覆盖大学生、职场白领、家长群体，有效问卷 300+ 份。</w:t>
      </w:r>
    </w:p>
    <w:p w14:paraId="1E20731E">
      <w:pPr>
        <w:spacing w:line="560" w:lineRule="atLeast"/>
        <w:ind w:firstLine="480" w:firstLineChars="200"/>
        <w:rPr>
          <w:rFonts w:hint="eastAsia" w:ascii="宋体" w:hAnsi="宋体" w:eastAsia="宋体" w:cs="方正仿宋_GB2312"/>
          <w:sz w:val="24"/>
          <w:szCs w:val="24"/>
        </w:rPr>
      </w:pPr>
      <w:r>
        <w:rPr>
          <w:rFonts w:hint="eastAsia" w:ascii="宋体" w:hAnsi="宋体" w:eastAsia="宋体" w:cs="方正仿宋_GB2312"/>
          <w:sz w:val="24"/>
          <w:szCs w:val="24"/>
        </w:rPr>
        <w:t>核心发现：</w:t>
      </w:r>
    </w:p>
    <w:p w14:paraId="5DED1459">
      <w:pPr>
        <w:spacing w:line="560" w:lineRule="atLeast"/>
        <w:ind w:firstLine="480" w:firstLineChars="200"/>
        <w:rPr>
          <w:rFonts w:hint="eastAsia" w:ascii="宋体" w:hAnsi="宋体" w:eastAsia="宋体" w:cs="方正仿宋_GB2312"/>
          <w:sz w:val="24"/>
          <w:szCs w:val="24"/>
        </w:rPr>
      </w:pPr>
      <w:r>
        <w:rPr>
          <w:rFonts w:hint="eastAsia" w:ascii="宋体" w:hAnsi="宋体" w:eastAsia="宋体" w:cs="方正仿宋_GB2312"/>
          <w:sz w:val="24"/>
          <w:szCs w:val="24"/>
        </w:rPr>
        <w:drawing>
          <wp:inline distT="0" distB="0" distL="114300" distR="114300">
            <wp:extent cx="4449445" cy="2735580"/>
            <wp:effectExtent l="0" t="0" r="8255" b="7620"/>
            <wp:docPr id="5" name="图片 5" descr="de44ac44d6a02b266590135d98304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e44ac44d6a02b266590135d98304410"/>
                    <pic:cNvPicPr>
                      <a:picLocks noChangeAspect="1"/>
                    </pic:cNvPicPr>
                  </pic:nvPicPr>
                  <pic:blipFill>
                    <a:blip r:embed="rId11"/>
                    <a:stretch>
                      <a:fillRect/>
                    </a:stretch>
                  </pic:blipFill>
                  <pic:spPr>
                    <a:xfrm>
                      <a:off x="0" y="0"/>
                      <a:ext cx="4449445" cy="2735580"/>
                    </a:xfrm>
                    <a:prstGeom prst="rect">
                      <a:avLst/>
                    </a:prstGeom>
                  </pic:spPr>
                </pic:pic>
              </a:graphicData>
            </a:graphic>
          </wp:inline>
        </w:drawing>
      </w:r>
    </w:p>
    <w:p w14:paraId="6B327AFD">
      <w:pPr>
        <w:spacing w:line="560" w:lineRule="atLeast"/>
        <w:ind w:firstLine="480" w:firstLineChars="200"/>
        <w:rPr>
          <w:rFonts w:hint="eastAsia" w:ascii="宋体" w:hAnsi="宋体" w:eastAsia="宋体" w:cs="方正仿宋_GB2312"/>
          <w:sz w:val="24"/>
          <w:szCs w:val="24"/>
        </w:rPr>
      </w:pPr>
      <w:r>
        <w:rPr>
          <w:rFonts w:hint="eastAsia" w:ascii="宋体" w:hAnsi="宋体" w:eastAsia="宋体" w:cs="方正仿宋_GB2312"/>
          <w:sz w:val="24"/>
          <w:szCs w:val="24"/>
        </w:rPr>
        <w:t>结论：“心安动识”所面对的，是一个需求真实、意愿强烈、付费能力已初步验证的市场。</w:t>
      </w:r>
    </w:p>
    <w:p w14:paraId="0AA521E4">
      <w:pPr>
        <w:spacing w:line="560" w:lineRule="atLeast"/>
        <w:ind w:firstLine="482" w:firstLineChars="200"/>
        <w:outlineLvl w:val="1"/>
        <w:rPr>
          <w:rFonts w:hint="eastAsia" w:ascii="宋体" w:hAnsi="宋体" w:eastAsia="宋体" w:cs="方正楷体_GB2312"/>
          <w:b/>
          <w:bCs/>
          <w:sz w:val="24"/>
          <w:szCs w:val="24"/>
        </w:rPr>
      </w:pPr>
      <w:bookmarkStart w:id="63" w:name="_Toc232355807"/>
      <w:r>
        <w:rPr>
          <w:rFonts w:hint="eastAsia" w:ascii="宋体" w:hAnsi="宋体" w:eastAsia="宋体" w:cs="方正楷体_GB2312"/>
          <w:b/>
          <w:bCs/>
          <w:sz w:val="24"/>
          <w:szCs w:val="24"/>
        </w:rPr>
        <w:t>5.5 政策响应与国家战略对齐</w:t>
      </w:r>
      <w:bookmarkEnd w:id="63"/>
    </w:p>
    <w:p w14:paraId="7C11E38B">
      <w:pPr>
        <w:spacing w:line="560" w:lineRule="atLeast"/>
        <w:ind w:firstLine="480" w:firstLineChars="200"/>
        <w:rPr>
          <w:rFonts w:hint="eastAsia" w:ascii="宋体" w:hAnsi="宋体" w:eastAsia="宋体" w:cs="方正仿宋_GB2312"/>
          <w:sz w:val="24"/>
          <w:szCs w:val="24"/>
        </w:rPr>
      </w:pPr>
      <w:r>
        <w:rPr>
          <w:rFonts w:hint="eastAsia" w:ascii="宋体" w:hAnsi="宋体" w:eastAsia="宋体" w:cs="方正仿宋_GB2312"/>
          <w:sz w:val="24"/>
          <w:szCs w:val="24"/>
        </w:rPr>
        <w:t>“心安动识”精准踩中了国家在心理健康与人工智能领域的多项政策节点，具备明确的政策合规性与扶持预期。</w:t>
      </w:r>
    </w:p>
    <w:p w14:paraId="555342C8">
      <w:pPr>
        <w:spacing w:line="560" w:lineRule="atLeast"/>
        <w:ind w:firstLine="482" w:firstLineChars="200"/>
        <w:outlineLvl w:val="2"/>
        <w:rPr>
          <w:rFonts w:hint="eastAsia" w:ascii="宋体" w:hAnsi="宋体" w:eastAsia="宋体" w:cs="方正仿宋_GB2312"/>
          <w:b/>
          <w:bCs/>
          <w:sz w:val="24"/>
          <w:szCs w:val="24"/>
        </w:rPr>
      </w:pPr>
      <w:bookmarkStart w:id="64" w:name="_Toc232355808"/>
      <w:r>
        <w:rPr>
          <w:rFonts w:hint="eastAsia" w:ascii="宋体" w:hAnsi="宋体" w:eastAsia="宋体" w:cs="方正仿宋_GB2312"/>
          <w:b/>
          <w:bCs/>
          <w:sz w:val="24"/>
          <w:szCs w:val="24"/>
        </w:rPr>
        <w:t>5.5.1 “十五五”规划与心理健康</w:t>
      </w:r>
      <w:bookmarkEnd w:id="64"/>
    </w:p>
    <w:p w14:paraId="7635D316">
      <w:pPr>
        <w:spacing w:line="560" w:lineRule="atLeast"/>
        <w:ind w:firstLine="480" w:firstLineChars="200"/>
        <w:rPr>
          <w:rFonts w:hint="eastAsia" w:ascii="宋体" w:hAnsi="宋体" w:eastAsia="宋体" w:cs="方正仿宋_GB2312"/>
          <w:sz w:val="24"/>
          <w:szCs w:val="24"/>
        </w:rPr>
      </w:pPr>
      <w:r>
        <w:rPr>
          <w:rFonts w:hint="eastAsia" w:ascii="宋体" w:hAnsi="宋体" w:eastAsia="宋体" w:cs="方正仿宋_GB2312"/>
          <w:sz w:val="24"/>
          <w:szCs w:val="24"/>
        </w:rPr>
        <w:t>“十五五”规划（2026-2030）明确提出：全面推进健康中国建设，加强心理健康服务体系建设，推动数字健康技术与心理健康深度融合。</w:t>
      </w:r>
    </w:p>
    <w:tbl>
      <w:tblPr>
        <w:tblStyle w:val="26"/>
        <w:tblpPr w:leftFromText="180" w:rightFromText="180" w:vertAnchor="text" w:horzAnchor="page" w:tblpXSpec="center" w:tblpY="624"/>
        <w:tblOverlap w:val="never"/>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60"/>
        <w:gridCol w:w="2805"/>
        <w:gridCol w:w="2806"/>
      </w:tblGrid>
      <w:tr w14:paraId="22BE3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456" w:type="dxa"/>
            <w:tcBorders>
              <w:top w:val="single" w:color="000000" w:sz="12" w:space="0"/>
              <w:left w:val="nil"/>
              <w:bottom w:val="single" w:color="000000" w:sz="4" w:space="0"/>
              <w:right w:val="nil"/>
              <w:tl2br w:val="nil"/>
            </w:tcBorders>
            <w:shd w:val="clear" w:color="auto" w:fill="FFFFFF"/>
            <w:vAlign w:val="center"/>
          </w:tcPr>
          <w:p w14:paraId="09EFEA6E">
            <w:pPr>
              <w:spacing w:line="560" w:lineRule="atLeast"/>
              <w:ind w:firstLine="482" w:firstLineChars="200"/>
              <w:jc w:val="center"/>
              <w:rPr>
                <w:rFonts w:hint="eastAsia" w:ascii="宋体" w:hAnsi="宋体" w:eastAsia="宋体" w:cs="方正仿宋_GB2312"/>
                <w:b/>
                <w:bCs/>
                <w:color w:val="000000"/>
                <w:sz w:val="24"/>
                <w:szCs w:val="24"/>
                <w14:ligatures w14:val="standardContextual"/>
              </w:rPr>
            </w:pPr>
            <w:r>
              <w:rPr>
                <w:rFonts w:hint="eastAsia" w:ascii="宋体" w:hAnsi="宋体" w:eastAsia="宋体" w:cs="方正仿宋_GB2312"/>
                <w:b/>
                <w:bCs/>
                <w:color w:val="000000"/>
                <w:sz w:val="24"/>
                <w:szCs w:val="24"/>
                <w14:ligatures w14:val="standardContextual"/>
              </w:rPr>
              <w:t>政策文件</w:t>
            </w:r>
          </w:p>
        </w:tc>
        <w:tc>
          <w:tcPr>
            <w:tcW w:w="2802" w:type="dxa"/>
            <w:tcBorders>
              <w:top w:val="single" w:color="000000" w:sz="12" w:space="0"/>
              <w:left w:val="nil"/>
              <w:bottom w:val="single" w:color="000000" w:sz="4" w:space="0"/>
              <w:right w:val="nil"/>
            </w:tcBorders>
            <w:shd w:val="clear" w:color="auto" w:fill="FFFFFF"/>
            <w:vAlign w:val="center"/>
          </w:tcPr>
          <w:p w14:paraId="5401461E">
            <w:pPr>
              <w:spacing w:line="560" w:lineRule="atLeast"/>
              <w:ind w:firstLine="482" w:firstLineChars="200"/>
              <w:jc w:val="center"/>
              <w:rPr>
                <w:rFonts w:hint="eastAsia" w:ascii="宋体" w:hAnsi="宋体" w:eastAsia="宋体" w:cs="方正仿宋_GB2312"/>
                <w:b/>
                <w:bCs/>
                <w:color w:val="000000"/>
                <w:sz w:val="24"/>
                <w:szCs w:val="24"/>
                <w14:ligatures w14:val="standardContextual"/>
              </w:rPr>
            </w:pPr>
            <w:r>
              <w:rPr>
                <w:rFonts w:hint="eastAsia" w:ascii="宋体" w:hAnsi="宋体" w:eastAsia="宋体" w:cs="方正仿宋_GB2312"/>
                <w:b/>
                <w:bCs/>
                <w:color w:val="000000"/>
                <w:sz w:val="24"/>
                <w:szCs w:val="24"/>
                <w14:ligatures w14:val="standardContextual"/>
              </w:rPr>
              <w:t>核心条款</w:t>
            </w:r>
          </w:p>
        </w:tc>
        <w:tc>
          <w:tcPr>
            <w:tcW w:w="2802" w:type="dxa"/>
            <w:tcBorders>
              <w:top w:val="single" w:color="000000" w:sz="12" w:space="0"/>
              <w:left w:val="nil"/>
              <w:bottom w:val="single" w:color="000000" w:sz="4" w:space="0"/>
              <w:right w:val="nil"/>
            </w:tcBorders>
            <w:shd w:val="clear" w:color="auto" w:fill="FFFFFF"/>
            <w:vAlign w:val="center"/>
          </w:tcPr>
          <w:p w14:paraId="4FEBC3AA">
            <w:pPr>
              <w:spacing w:line="560" w:lineRule="atLeast"/>
              <w:ind w:firstLine="482" w:firstLineChars="200"/>
              <w:jc w:val="center"/>
              <w:rPr>
                <w:rFonts w:hint="eastAsia" w:ascii="宋体" w:hAnsi="宋体" w:eastAsia="宋体" w:cs="方正仿宋_GB2312"/>
                <w:b/>
                <w:bCs/>
                <w:color w:val="000000"/>
                <w:sz w:val="24"/>
                <w:szCs w:val="24"/>
                <w14:ligatures w14:val="standardContextual"/>
              </w:rPr>
            </w:pPr>
            <w:r>
              <w:rPr>
                <w:rFonts w:hint="eastAsia" w:ascii="宋体" w:hAnsi="宋体" w:eastAsia="宋体" w:cs="方正仿宋_GB2312"/>
                <w:b/>
                <w:bCs/>
                <w:color w:val="000000"/>
                <w:sz w:val="24"/>
                <w:szCs w:val="24"/>
                <w14:ligatures w14:val="standardContextual"/>
              </w:rPr>
              <w:t>项目对齐点</w:t>
            </w:r>
          </w:p>
        </w:tc>
      </w:tr>
      <w:tr w14:paraId="79ADE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0" w:hRule="atLeast"/>
          <w:jc w:val="center"/>
        </w:trPr>
        <w:tc>
          <w:tcPr>
            <w:tcW w:w="3456" w:type="dxa"/>
            <w:tcBorders>
              <w:top w:val="single" w:color="000000" w:sz="4" w:space="0"/>
              <w:left w:val="nil"/>
              <w:bottom w:val="nil"/>
              <w:right w:val="nil"/>
            </w:tcBorders>
            <w:shd w:val="clear" w:color="auto" w:fill="FFFFFF"/>
            <w:vAlign w:val="center"/>
          </w:tcPr>
          <w:p w14:paraId="76692AC0">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《“十五五”卫生健康规划》</w:t>
            </w:r>
          </w:p>
        </w:tc>
        <w:tc>
          <w:tcPr>
            <w:tcW w:w="2802" w:type="dxa"/>
            <w:tcBorders>
              <w:top w:val="single" w:color="000000" w:sz="4" w:space="0"/>
              <w:left w:val="nil"/>
              <w:bottom w:val="nil"/>
              <w:right w:val="nil"/>
            </w:tcBorders>
            <w:shd w:val="clear" w:color="auto" w:fill="FFFFFF"/>
            <w:vAlign w:val="center"/>
          </w:tcPr>
          <w:p w14:paraId="3B99ECFB">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加强心理健康服务网络建设</w:t>
            </w:r>
          </w:p>
        </w:tc>
        <w:tc>
          <w:tcPr>
            <w:tcW w:w="2802" w:type="dxa"/>
            <w:tcBorders>
              <w:top w:val="single" w:color="000000" w:sz="4" w:space="0"/>
              <w:left w:val="nil"/>
              <w:bottom w:val="nil"/>
              <w:right w:val="nil"/>
            </w:tcBorders>
            <w:shd w:val="clear" w:color="auto" w:fill="FFFFFF"/>
            <w:vAlign w:val="center"/>
          </w:tcPr>
          <w:p w14:paraId="1B251BF3">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构建覆盖全人群的智能心理健康平台</w:t>
            </w:r>
          </w:p>
        </w:tc>
      </w:tr>
      <w:tr w14:paraId="57968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0" w:hRule="atLeast"/>
          <w:jc w:val="center"/>
        </w:trPr>
        <w:tc>
          <w:tcPr>
            <w:tcW w:w="3456" w:type="dxa"/>
            <w:tcBorders>
              <w:top w:val="nil"/>
              <w:left w:val="nil"/>
              <w:bottom w:val="nil"/>
              <w:right w:val="nil"/>
            </w:tcBorders>
            <w:shd w:val="clear" w:color="auto" w:fill="FFFFFF"/>
            <w:vAlign w:val="center"/>
          </w:tcPr>
          <w:p w14:paraId="1F77A443">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《“健康中国2030”规划纲要》</w:t>
            </w:r>
          </w:p>
        </w:tc>
        <w:tc>
          <w:tcPr>
            <w:tcW w:w="2802" w:type="dxa"/>
            <w:tcBorders>
              <w:top w:val="nil"/>
              <w:left w:val="nil"/>
              <w:bottom w:val="nil"/>
              <w:right w:val="nil"/>
            </w:tcBorders>
            <w:shd w:val="clear" w:color="auto" w:fill="FFFFFF"/>
            <w:vAlign w:val="center"/>
          </w:tcPr>
          <w:p w14:paraId="4BE56C57">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促进心理健康、加强重点人群心理服务</w:t>
            </w:r>
          </w:p>
        </w:tc>
        <w:tc>
          <w:tcPr>
            <w:tcW w:w="2802" w:type="dxa"/>
            <w:tcBorders>
              <w:top w:val="nil"/>
              <w:left w:val="nil"/>
              <w:bottom w:val="nil"/>
              <w:right w:val="nil"/>
            </w:tcBorders>
            <w:shd w:val="clear" w:color="auto" w:fill="FFFFFF"/>
            <w:vAlign w:val="center"/>
          </w:tcPr>
          <w:p w14:paraId="3B7A22D1">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分群施策：青少年/职场/老年专属方案</w:t>
            </w:r>
          </w:p>
        </w:tc>
      </w:tr>
      <w:tr w14:paraId="27F88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0" w:hRule="atLeast"/>
          <w:jc w:val="center"/>
        </w:trPr>
        <w:tc>
          <w:tcPr>
            <w:tcW w:w="3456" w:type="dxa"/>
            <w:tcBorders>
              <w:top w:val="nil"/>
              <w:left w:val="nil"/>
              <w:bottom w:val="nil"/>
              <w:right w:val="nil"/>
            </w:tcBorders>
            <w:shd w:val="clear" w:color="auto" w:fill="FFFFFF"/>
            <w:vAlign w:val="center"/>
          </w:tcPr>
          <w:p w14:paraId="445D0476">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《数字中国建设整体布局规划》</w:t>
            </w:r>
          </w:p>
        </w:tc>
        <w:tc>
          <w:tcPr>
            <w:tcW w:w="2802" w:type="dxa"/>
            <w:tcBorders>
              <w:top w:val="nil"/>
              <w:left w:val="nil"/>
              <w:bottom w:val="nil"/>
              <w:right w:val="nil"/>
            </w:tcBorders>
            <w:shd w:val="clear" w:color="auto" w:fill="FFFFFF"/>
            <w:vAlign w:val="center"/>
          </w:tcPr>
          <w:p w14:paraId="3F8101F4">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推动数字技术与医疗健康深度融合</w:t>
            </w:r>
          </w:p>
        </w:tc>
        <w:tc>
          <w:tcPr>
            <w:tcW w:w="2802" w:type="dxa"/>
            <w:tcBorders>
              <w:top w:val="nil"/>
              <w:left w:val="nil"/>
              <w:bottom w:val="nil"/>
              <w:right w:val="nil"/>
            </w:tcBorders>
            <w:shd w:val="clear" w:color="auto" w:fill="FFFFFF"/>
            <w:vAlign w:val="center"/>
          </w:tcPr>
          <w:p w14:paraId="5334B45F">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AI+IoT驱动心理行为数字化评估</w:t>
            </w:r>
          </w:p>
        </w:tc>
      </w:tr>
      <w:tr w14:paraId="5A745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0" w:hRule="atLeast"/>
          <w:jc w:val="center"/>
        </w:trPr>
        <w:tc>
          <w:tcPr>
            <w:tcW w:w="3456" w:type="dxa"/>
            <w:tcBorders>
              <w:top w:val="nil"/>
              <w:left w:val="nil"/>
              <w:bottom w:val="nil"/>
              <w:right w:val="nil"/>
            </w:tcBorders>
            <w:shd w:val="clear" w:color="auto" w:fill="FFFFFF"/>
            <w:vAlign w:val="center"/>
          </w:tcPr>
          <w:p w14:paraId="052C8155">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《关于推进心理健康服务体系建设的指导意见》</w:t>
            </w:r>
          </w:p>
        </w:tc>
        <w:tc>
          <w:tcPr>
            <w:tcW w:w="2802" w:type="dxa"/>
            <w:tcBorders>
              <w:top w:val="nil"/>
              <w:left w:val="nil"/>
              <w:bottom w:val="nil"/>
              <w:right w:val="nil"/>
            </w:tcBorders>
            <w:shd w:val="clear" w:color="auto" w:fill="FFFFFF"/>
            <w:vAlign w:val="center"/>
          </w:tcPr>
          <w:p w14:paraId="176A554D">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健全学校、社区、医疗机构心理服务体系</w:t>
            </w:r>
          </w:p>
        </w:tc>
        <w:tc>
          <w:tcPr>
            <w:tcW w:w="2802" w:type="dxa"/>
            <w:tcBorders>
              <w:top w:val="nil"/>
              <w:left w:val="nil"/>
              <w:bottom w:val="nil"/>
              <w:right w:val="nil"/>
            </w:tcBorders>
            <w:shd w:val="clear" w:color="auto" w:fill="FFFFFF"/>
            <w:vAlign w:val="center"/>
          </w:tcPr>
          <w:p w14:paraId="65572005">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提供学校-社区-医院三级部署方案</w:t>
            </w:r>
          </w:p>
        </w:tc>
      </w:tr>
      <w:tr w14:paraId="7EED1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0" w:hRule="atLeast"/>
          <w:jc w:val="center"/>
        </w:trPr>
        <w:tc>
          <w:tcPr>
            <w:tcW w:w="3456" w:type="dxa"/>
            <w:tcBorders>
              <w:top w:val="nil"/>
              <w:left w:val="nil"/>
              <w:bottom w:val="nil"/>
              <w:right w:val="nil"/>
            </w:tcBorders>
            <w:shd w:val="clear" w:color="auto" w:fill="FFFFFF"/>
            <w:vAlign w:val="center"/>
          </w:tcPr>
          <w:p w14:paraId="3B4A0BDF">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《新一代人工智能发展规划》</w:t>
            </w:r>
          </w:p>
        </w:tc>
        <w:tc>
          <w:tcPr>
            <w:tcW w:w="2802" w:type="dxa"/>
            <w:tcBorders>
              <w:top w:val="nil"/>
              <w:left w:val="nil"/>
              <w:bottom w:val="nil"/>
              <w:right w:val="nil"/>
            </w:tcBorders>
            <w:shd w:val="clear" w:color="auto" w:fill="FFFFFF"/>
            <w:vAlign w:val="center"/>
          </w:tcPr>
          <w:p w14:paraId="22B6401B">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AI在医疗健康领域的示范应用</w:t>
            </w:r>
          </w:p>
        </w:tc>
        <w:tc>
          <w:tcPr>
            <w:tcW w:w="2802" w:type="dxa"/>
            <w:tcBorders>
              <w:top w:val="nil"/>
              <w:left w:val="nil"/>
              <w:bottom w:val="nil"/>
              <w:right w:val="nil"/>
            </w:tcBorders>
            <w:shd w:val="clear" w:color="auto" w:fill="FFFFFF"/>
            <w:vAlign w:val="center"/>
          </w:tcPr>
          <w:p w14:paraId="44C61A55">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自研深度学习行为识别算法</w:t>
            </w:r>
          </w:p>
        </w:tc>
      </w:tr>
      <w:tr w14:paraId="71821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0" w:hRule="atLeast"/>
          <w:jc w:val="center"/>
        </w:trPr>
        <w:tc>
          <w:tcPr>
            <w:tcW w:w="3456" w:type="dxa"/>
            <w:tcBorders>
              <w:top w:val="nil"/>
              <w:left w:val="nil"/>
              <w:bottom w:val="single" w:color="000000" w:sz="12" w:space="0"/>
              <w:right w:val="nil"/>
            </w:tcBorders>
            <w:shd w:val="clear" w:color="auto" w:fill="FFFFFF"/>
            <w:vAlign w:val="center"/>
          </w:tcPr>
          <w:p w14:paraId="688534B8">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《“十四五”国民健康规划》</w:t>
            </w:r>
          </w:p>
        </w:tc>
        <w:tc>
          <w:tcPr>
            <w:tcW w:w="2802" w:type="dxa"/>
            <w:tcBorders>
              <w:top w:val="nil"/>
              <w:left w:val="nil"/>
              <w:bottom w:val="single" w:color="000000" w:sz="12" w:space="0"/>
              <w:right w:val="nil"/>
            </w:tcBorders>
            <w:shd w:val="clear" w:color="auto" w:fill="FFFFFF"/>
            <w:vAlign w:val="center"/>
          </w:tcPr>
          <w:p w14:paraId="59445960">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关注精神卫生和心理健康</w:t>
            </w:r>
          </w:p>
        </w:tc>
        <w:tc>
          <w:tcPr>
            <w:tcW w:w="2802" w:type="dxa"/>
            <w:tcBorders>
              <w:top w:val="nil"/>
              <w:left w:val="nil"/>
              <w:bottom w:val="single" w:color="000000" w:sz="12" w:space="0"/>
              <w:right w:val="nil"/>
            </w:tcBorders>
            <w:shd w:val="clear" w:color="auto" w:fill="FFFFFF"/>
            <w:vAlign w:val="center"/>
          </w:tcPr>
          <w:p w14:paraId="2E258C3F">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预防-识别-干预-康复全链条</w:t>
            </w:r>
          </w:p>
        </w:tc>
      </w:tr>
    </w:tbl>
    <w:p w14:paraId="265CDE8A">
      <w:pPr>
        <w:spacing w:line="560" w:lineRule="atLeast"/>
        <w:ind w:firstLine="480" w:firstLineChars="200"/>
        <w:rPr>
          <w:rFonts w:hint="eastAsia" w:ascii="宋体" w:hAnsi="宋体" w:eastAsia="宋体" w:cs="方正仿宋_GB2312"/>
          <w:sz w:val="24"/>
          <w:szCs w:val="24"/>
        </w:rPr>
      </w:pPr>
      <w:r>
        <w:rPr>
          <w:rFonts w:hint="eastAsia" w:ascii="宋体" w:hAnsi="宋体" w:eastAsia="宋体" w:cs="方正仿宋_GB2312"/>
          <w:sz w:val="24"/>
          <w:szCs w:val="24"/>
        </w:rPr>
        <w:t>本项目精准响应以下政策方向：</w:t>
      </w:r>
    </w:p>
    <w:p w14:paraId="53D22D5F">
      <w:pPr>
        <w:spacing w:line="560" w:lineRule="atLeast"/>
        <w:ind w:firstLine="482" w:firstLineChars="200"/>
        <w:outlineLvl w:val="2"/>
        <w:rPr>
          <w:rFonts w:hint="eastAsia" w:ascii="宋体" w:hAnsi="宋体" w:eastAsia="宋体" w:cs="方正仿宋_GB2312"/>
          <w:b/>
          <w:bCs/>
          <w:sz w:val="24"/>
          <w:szCs w:val="24"/>
        </w:rPr>
      </w:pPr>
      <w:bookmarkStart w:id="65" w:name="_Toc232355809"/>
      <w:r>
        <w:rPr>
          <w:rFonts w:hint="eastAsia" w:ascii="宋体" w:hAnsi="宋体" w:eastAsia="宋体" w:cs="方正仿宋_GB2312"/>
          <w:b/>
          <w:bCs/>
          <w:sz w:val="24"/>
          <w:szCs w:val="24"/>
        </w:rPr>
        <w:t>5.5.2 产学研协同与政策红利</w:t>
      </w:r>
      <w:bookmarkEnd w:id="65"/>
    </w:p>
    <w:p w14:paraId="41237C2A">
      <w:pPr>
        <w:spacing w:line="560" w:lineRule="atLeast"/>
        <w:ind w:firstLine="480" w:firstLineChars="200"/>
        <w:rPr>
          <w:rFonts w:hint="eastAsia" w:ascii="宋体" w:hAnsi="宋体" w:eastAsia="宋体" w:cs="方正仿宋_GB2312"/>
          <w:sz w:val="24"/>
          <w:szCs w:val="24"/>
        </w:rPr>
      </w:pPr>
      <w:r>
        <w:rPr>
          <w:rFonts w:hint="eastAsia" w:ascii="宋体" w:hAnsi="宋体" w:eastAsia="宋体" w:cs="方正仿宋_GB2312"/>
          <w:sz w:val="24"/>
          <w:szCs w:val="24"/>
        </w:rPr>
        <w:t>“心安动识”不仅符合国家战略方向，更可依托以下政策资源获得发展助力：</w:t>
      </w:r>
    </w:p>
    <w:tbl>
      <w:tblPr>
        <w:tblStyle w:val="26"/>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9"/>
        <w:gridCol w:w="3776"/>
        <w:gridCol w:w="3776"/>
      </w:tblGrid>
      <w:tr w14:paraId="05BF4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1" w:type="dxa"/>
            <w:tcBorders>
              <w:top w:val="single" w:color="000000" w:sz="12" w:space="0"/>
              <w:left w:val="nil"/>
              <w:bottom w:val="single" w:color="000000" w:sz="4" w:space="0"/>
              <w:right w:val="nil"/>
              <w:tl2br w:val="nil"/>
            </w:tcBorders>
            <w:shd w:val="clear" w:color="auto" w:fill="FFFFFF"/>
            <w:vAlign w:val="center"/>
          </w:tcPr>
          <w:p w14:paraId="095F2B42">
            <w:pPr>
              <w:spacing w:line="560" w:lineRule="atLeast"/>
              <w:ind w:firstLine="482" w:firstLineChars="200"/>
              <w:jc w:val="center"/>
              <w:rPr>
                <w:rFonts w:hint="eastAsia" w:ascii="宋体" w:hAnsi="宋体" w:eastAsia="宋体" w:cs="方正仿宋_GB2312"/>
                <w:b/>
                <w:color w:val="000000"/>
                <w:sz w:val="24"/>
                <w:szCs w:val="24"/>
                <w14:ligatures w14:val="standardContextual"/>
              </w:rPr>
            </w:pPr>
            <w:r>
              <w:rPr>
                <w:rFonts w:hint="eastAsia" w:ascii="宋体" w:hAnsi="宋体" w:eastAsia="宋体" w:cs="方正仿宋_GB2312"/>
                <w:b/>
                <w:color w:val="000000"/>
                <w:sz w:val="24"/>
                <w:szCs w:val="24"/>
                <w14:ligatures w14:val="standardContextual"/>
              </w:rPr>
              <w:t>政策来源</w:t>
            </w:r>
          </w:p>
        </w:tc>
        <w:tc>
          <w:tcPr>
            <w:tcW w:w="3784" w:type="dxa"/>
            <w:tcBorders>
              <w:top w:val="single" w:color="000000" w:sz="12" w:space="0"/>
              <w:left w:val="nil"/>
              <w:bottom w:val="single" w:color="000000" w:sz="4" w:space="0"/>
              <w:right w:val="nil"/>
            </w:tcBorders>
            <w:shd w:val="clear" w:color="auto" w:fill="FFFFFF"/>
            <w:vAlign w:val="center"/>
          </w:tcPr>
          <w:p w14:paraId="230B27D8">
            <w:pPr>
              <w:spacing w:line="560" w:lineRule="atLeast"/>
              <w:ind w:firstLine="482" w:firstLineChars="200"/>
              <w:jc w:val="center"/>
              <w:rPr>
                <w:rFonts w:hint="eastAsia" w:ascii="宋体" w:hAnsi="宋体" w:eastAsia="宋体" w:cs="方正仿宋_GB2312"/>
                <w:b/>
                <w:color w:val="000000"/>
                <w:sz w:val="24"/>
                <w:szCs w:val="24"/>
                <w14:ligatures w14:val="standardContextual"/>
              </w:rPr>
            </w:pPr>
            <w:r>
              <w:rPr>
                <w:rFonts w:hint="eastAsia" w:ascii="宋体" w:hAnsi="宋体" w:eastAsia="宋体" w:cs="方正仿宋_GB2312"/>
                <w:b/>
                <w:color w:val="000000"/>
                <w:sz w:val="24"/>
                <w:szCs w:val="24"/>
                <w14:ligatures w14:val="standardContextual"/>
              </w:rPr>
              <w:t>具体支持领域</w:t>
            </w:r>
          </w:p>
        </w:tc>
        <w:tc>
          <w:tcPr>
            <w:tcW w:w="3784" w:type="dxa"/>
            <w:tcBorders>
              <w:top w:val="single" w:color="000000" w:sz="12" w:space="0"/>
              <w:left w:val="nil"/>
              <w:bottom w:val="single" w:color="000000" w:sz="4" w:space="0"/>
              <w:right w:val="nil"/>
            </w:tcBorders>
            <w:shd w:val="clear" w:color="auto" w:fill="FFFFFF"/>
            <w:vAlign w:val="center"/>
          </w:tcPr>
          <w:p w14:paraId="7E044B07">
            <w:pPr>
              <w:spacing w:line="560" w:lineRule="atLeast"/>
              <w:ind w:firstLine="482" w:firstLineChars="200"/>
              <w:jc w:val="center"/>
              <w:rPr>
                <w:rFonts w:hint="eastAsia" w:ascii="宋体" w:hAnsi="宋体" w:eastAsia="宋体" w:cs="方正仿宋_GB2312"/>
                <w:b/>
                <w:color w:val="000000"/>
                <w:sz w:val="24"/>
                <w:szCs w:val="24"/>
                <w14:ligatures w14:val="standardContextual"/>
              </w:rPr>
            </w:pPr>
            <w:r>
              <w:rPr>
                <w:rFonts w:hint="eastAsia" w:ascii="宋体" w:hAnsi="宋体" w:eastAsia="宋体" w:cs="方正仿宋_GB2312"/>
                <w:b/>
                <w:color w:val="000000"/>
                <w:sz w:val="24"/>
                <w:szCs w:val="24"/>
                <w14:ligatures w14:val="standardContextual"/>
              </w:rPr>
              <w:t>对项目的红利</w:t>
            </w:r>
          </w:p>
        </w:tc>
      </w:tr>
      <w:tr w14:paraId="3437D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0" w:hRule="atLeast"/>
          <w:jc w:val="center"/>
        </w:trPr>
        <w:tc>
          <w:tcPr>
            <w:tcW w:w="1521" w:type="dxa"/>
            <w:tcBorders>
              <w:top w:val="single" w:color="000000" w:sz="4" w:space="0"/>
              <w:left w:val="nil"/>
              <w:bottom w:val="nil"/>
              <w:right w:val="nil"/>
            </w:tcBorders>
            <w:shd w:val="clear" w:color="auto" w:fill="FFFFFF"/>
            <w:vAlign w:val="center"/>
          </w:tcPr>
          <w:p w14:paraId="166AD47B">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教育部</w:t>
            </w:r>
          </w:p>
        </w:tc>
        <w:tc>
          <w:tcPr>
            <w:tcW w:w="3784" w:type="dxa"/>
            <w:tcBorders>
              <w:top w:val="single" w:color="000000" w:sz="4" w:space="0"/>
              <w:left w:val="nil"/>
              <w:bottom w:val="nil"/>
              <w:right w:val="nil"/>
            </w:tcBorders>
            <w:shd w:val="clear" w:color="auto" w:fill="FFFFFF"/>
            <w:vAlign w:val="center"/>
          </w:tcPr>
          <w:p w14:paraId="1B662231">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大学生创新创业训练计划重点支持（健康中国、人工智能+）</w:t>
            </w:r>
          </w:p>
        </w:tc>
        <w:tc>
          <w:tcPr>
            <w:tcW w:w="3784" w:type="dxa"/>
            <w:tcBorders>
              <w:top w:val="single" w:color="000000" w:sz="4" w:space="0"/>
              <w:left w:val="nil"/>
              <w:bottom w:val="nil"/>
              <w:right w:val="nil"/>
            </w:tcBorders>
            <w:shd w:val="clear" w:color="auto" w:fill="FFFFFF"/>
            <w:vAlign w:val="center"/>
          </w:tcPr>
          <w:p w14:paraId="383A6B6C">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可申请国家级大创立项，获得经费与背书</w:t>
            </w:r>
          </w:p>
        </w:tc>
      </w:tr>
      <w:tr w14:paraId="5BCF4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0" w:hRule="atLeast"/>
          <w:jc w:val="center"/>
        </w:trPr>
        <w:tc>
          <w:tcPr>
            <w:tcW w:w="1521" w:type="dxa"/>
            <w:tcBorders>
              <w:top w:val="nil"/>
              <w:left w:val="nil"/>
              <w:bottom w:val="nil"/>
              <w:right w:val="nil"/>
            </w:tcBorders>
            <w:shd w:val="clear" w:color="auto" w:fill="FFFFFF"/>
            <w:vAlign w:val="center"/>
          </w:tcPr>
          <w:p w14:paraId="5DFA67A7">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科技部</w:t>
            </w:r>
          </w:p>
        </w:tc>
        <w:tc>
          <w:tcPr>
            <w:tcW w:w="3784" w:type="dxa"/>
            <w:tcBorders>
              <w:top w:val="nil"/>
              <w:left w:val="nil"/>
              <w:bottom w:val="nil"/>
              <w:right w:val="nil"/>
            </w:tcBorders>
            <w:shd w:val="clear" w:color="auto" w:fill="FFFFFF"/>
            <w:vAlign w:val="center"/>
          </w:tcPr>
          <w:p w14:paraId="6A675E9D">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新一代人工智能创新发展试验区应用场景</w:t>
            </w:r>
          </w:p>
        </w:tc>
        <w:tc>
          <w:tcPr>
            <w:tcW w:w="3784" w:type="dxa"/>
            <w:tcBorders>
              <w:top w:val="nil"/>
              <w:left w:val="nil"/>
              <w:bottom w:val="nil"/>
              <w:right w:val="nil"/>
            </w:tcBorders>
            <w:shd w:val="clear" w:color="auto" w:fill="FFFFFF"/>
            <w:vAlign w:val="center"/>
          </w:tcPr>
          <w:p w14:paraId="1AA58AEC">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有机会纳入地方AI示范项目，获取算力与数据支持</w:t>
            </w:r>
          </w:p>
        </w:tc>
      </w:tr>
      <w:tr w14:paraId="69786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0" w:hRule="atLeast"/>
          <w:jc w:val="center"/>
        </w:trPr>
        <w:tc>
          <w:tcPr>
            <w:tcW w:w="1521" w:type="dxa"/>
            <w:tcBorders>
              <w:top w:val="nil"/>
              <w:left w:val="nil"/>
              <w:bottom w:val="nil"/>
              <w:right w:val="nil"/>
            </w:tcBorders>
            <w:shd w:val="clear" w:color="auto" w:fill="FFFFFF"/>
            <w:vAlign w:val="center"/>
          </w:tcPr>
          <w:p w14:paraId="3A5928D8">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卫健委</w:t>
            </w:r>
          </w:p>
        </w:tc>
        <w:tc>
          <w:tcPr>
            <w:tcW w:w="3784" w:type="dxa"/>
            <w:tcBorders>
              <w:top w:val="nil"/>
              <w:left w:val="nil"/>
              <w:bottom w:val="nil"/>
              <w:right w:val="nil"/>
            </w:tcBorders>
            <w:shd w:val="clear" w:color="auto" w:fill="FFFFFF"/>
            <w:vAlign w:val="center"/>
          </w:tcPr>
          <w:p w14:paraId="0980C8EE">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精神卫生综合管理试点城市配套项目</w:t>
            </w:r>
          </w:p>
        </w:tc>
        <w:tc>
          <w:tcPr>
            <w:tcW w:w="3784" w:type="dxa"/>
            <w:tcBorders>
              <w:top w:val="nil"/>
              <w:left w:val="nil"/>
              <w:bottom w:val="nil"/>
              <w:right w:val="nil"/>
            </w:tcBorders>
            <w:shd w:val="clear" w:color="auto" w:fill="FFFFFF"/>
            <w:vAlign w:val="center"/>
          </w:tcPr>
          <w:p w14:paraId="2CA8F980">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可进入试点城市采购名单，加速B端落地</w:t>
            </w:r>
          </w:p>
        </w:tc>
      </w:tr>
      <w:tr w14:paraId="5D035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0" w:hRule="atLeast"/>
          <w:jc w:val="center"/>
        </w:trPr>
        <w:tc>
          <w:tcPr>
            <w:tcW w:w="1521" w:type="dxa"/>
            <w:tcBorders>
              <w:top w:val="nil"/>
              <w:left w:val="nil"/>
              <w:bottom w:val="single" w:color="000000" w:sz="12" w:space="0"/>
              <w:right w:val="nil"/>
            </w:tcBorders>
            <w:shd w:val="clear" w:color="auto" w:fill="FFFFFF"/>
            <w:vAlign w:val="center"/>
          </w:tcPr>
          <w:p w14:paraId="4C53BC76">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人社部</w:t>
            </w:r>
          </w:p>
        </w:tc>
        <w:tc>
          <w:tcPr>
            <w:tcW w:w="3784" w:type="dxa"/>
            <w:tcBorders>
              <w:top w:val="nil"/>
              <w:left w:val="nil"/>
              <w:bottom w:val="single" w:color="000000" w:sz="12" w:space="0"/>
              <w:right w:val="nil"/>
            </w:tcBorders>
            <w:shd w:val="clear" w:color="auto" w:fill="FFFFFF"/>
            <w:vAlign w:val="center"/>
          </w:tcPr>
          <w:p w14:paraId="4371D7A1">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职业技能提升行动——心理健康服务人才培养</w:t>
            </w:r>
          </w:p>
        </w:tc>
        <w:tc>
          <w:tcPr>
            <w:tcW w:w="3784" w:type="dxa"/>
            <w:tcBorders>
              <w:top w:val="nil"/>
              <w:left w:val="nil"/>
              <w:bottom w:val="single" w:color="000000" w:sz="12" w:space="0"/>
              <w:right w:val="nil"/>
            </w:tcBorders>
            <w:shd w:val="clear" w:color="auto" w:fill="FFFFFF"/>
            <w:vAlign w:val="center"/>
          </w:tcPr>
          <w:p w14:paraId="016A1063">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可与职业培训体系结合，拓展服务场景</w:t>
            </w:r>
          </w:p>
        </w:tc>
      </w:tr>
    </w:tbl>
    <w:p w14:paraId="6363030B">
      <w:pPr>
        <w:spacing w:line="560" w:lineRule="atLeast"/>
        <w:ind w:firstLine="482" w:firstLineChars="200"/>
        <w:outlineLvl w:val="1"/>
        <w:rPr>
          <w:rFonts w:hint="eastAsia" w:ascii="宋体" w:hAnsi="宋体" w:eastAsia="宋体" w:cs="方正楷体_GB2312"/>
          <w:b/>
          <w:bCs/>
          <w:sz w:val="24"/>
          <w:szCs w:val="24"/>
        </w:rPr>
      </w:pPr>
      <w:bookmarkStart w:id="66" w:name="_Toc232355810"/>
      <w:r>
        <w:rPr>
          <w:rFonts w:hint="eastAsia" w:ascii="宋体" w:hAnsi="宋体" w:eastAsia="宋体" w:cs="方正楷体_GB2312"/>
          <w:b/>
          <w:bCs/>
          <w:sz w:val="24"/>
          <w:szCs w:val="24"/>
        </w:rPr>
        <w:t>5.6 市场机会总结</w:t>
      </w:r>
      <w:bookmarkEnd w:id="66"/>
    </w:p>
    <w:p w14:paraId="6878A452">
      <w:pPr>
        <w:spacing w:line="560" w:lineRule="atLeast"/>
        <w:ind w:firstLine="480" w:firstLineChars="200"/>
        <w:rPr>
          <w:rFonts w:hint="eastAsia" w:ascii="宋体" w:hAnsi="宋体" w:eastAsia="宋体" w:cs="方正仿宋_GB2312"/>
          <w:sz w:val="24"/>
          <w:szCs w:val="24"/>
        </w:rPr>
      </w:pPr>
      <w:r>
        <w:rPr>
          <w:rFonts w:hint="eastAsia" w:ascii="宋体" w:hAnsi="宋体" w:eastAsia="宋体" w:cs="方正仿宋_GB2312"/>
          <w:sz w:val="24"/>
          <w:szCs w:val="24"/>
        </w:rPr>
        <w:t>综合市场规模、用户画像、竞争格局、需求验证、政策响应五维分析，“心安动识”面临以下结构性机会：</w:t>
      </w:r>
    </w:p>
    <w:tbl>
      <w:tblPr>
        <w:tblStyle w:val="26"/>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1"/>
        <w:gridCol w:w="5793"/>
        <w:gridCol w:w="1737"/>
      </w:tblGrid>
      <w:tr w14:paraId="6E51D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1540" w:type="dxa"/>
            <w:tcBorders>
              <w:top w:val="single" w:color="000000" w:sz="12" w:space="0"/>
              <w:left w:val="nil"/>
              <w:bottom w:val="single" w:color="000000" w:sz="4" w:space="0"/>
              <w:right w:val="nil"/>
              <w:tl2br w:val="nil"/>
            </w:tcBorders>
            <w:shd w:val="clear" w:color="auto" w:fill="FFFFFF"/>
            <w:vAlign w:val="center"/>
          </w:tcPr>
          <w:p w14:paraId="7744CA22">
            <w:pPr>
              <w:spacing w:line="560" w:lineRule="atLeast"/>
              <w:ind w:firstLine="482" w:firstLineChars="200"/>
              <w:jc w:val="center"/>
              <w:rPr>
                <w:rFonts w:hint="eastAsia" w:ascii="宋体" w:hAnsi="宋体" w:eastAsia="宋体" w:cs="方正仿宋_GB2312"/>
                <w:b/>
                <w:color w:val="000000"/>
                <w:sz w:val="24"/>
                <w:szCs w:val="24"/>
                <w14:ligatures w14:val="standardContextual"/>
              </w:rPr>
            </w:pPr>
            <w:r>
              <w:rPr>
                <w:rFonts w:hint="eastAsia" w:ascii="宋体" w:hAnsi="宋体" w:eastAsia="宋体" w:cs="方正仿宋_GB2312"/>
                <w:b/>
                <w:color w:val="000000"/>
                <w:sz w:val="24"/>
                <w:szCs w:val="24"/>
                <w14:ligatures w14:val="standardContextual"/>
              </w:rPr>
              <w:t>维度</w:t>
            </w:r>
          </w:p>
        </w:tc>
        <w:tc>
          <w:tcPr>
            <w:tcW w:w="5790" w:type="dxa"/>
            <w:tcBorders>
              <w:top w:val="single" w:color="000000" w:sz="12" w:space="0"/>
              <w:left w:val="nil"/>
              <w:bottom w:val="single" w:color="000000" w:sz="4" w:space="0"/>
              <w:right w:val="nil"/>
            </w:tcBorders>
            <w:shd w:val="clear" w:color="auto" w:fill="FFFFFF"/>
            <w:vAlign w:val="center"/>
          </w:tcPr>
          <w:p w14:paraId="250B6D38">
            <w:pPr>
              <w:spacing w:line="560" w:lineRule="atLeast"/>
              <w:ind w:firstLine="482" w:firstLineChars="200"/>
              <w:jc w:val="center"/>
              <w:rPr>
                <w:rFonts w:hint="eastAsia" w:ascii="宋体" w:hAnsi="宋体" w:eastAsia="宋体" w:cs="方正仿宋_GB2312"/>
                <w:b/>
                <w:color w:val="000000"/>
                <w:sz w:val="24"/>
                <w:szCs w:val="24"/>
                <w14:ligatures w14:val="standardContextual"/>
              </w:rPr>
            </w:pPr>
            <w:r>
              <w:rPr>
                <w:rFonts w:hint="eastAsia" w:ascii="宋体" w:hAnsi="宋体" w:eastAsia="宋体" w:cs="方正仿宋_GB2312"/>
                <w:b/>
                <w:color w:val="000000"/>
                <w:sz w:val="24"/>
                <w:szCs w:val="24"/>
                <w14:ligatures w14:val="standardContextual"/>
              </w:rPr>
              <w:t>判断</w:t>
            </w:r>
          </w:p>
        </w:tc>
        <w:tc>
          <w:tcPr>
            <w:tcW w:w="1736" w:type="dxa"/>
            <w:tcBorders>
              <w:top w:val="single" w:color="000000" w:sz="12" w:space="0"/>
              <w:left w:val="nil"/>
              <w:bottom w:val="single" w:color="000000" w:sz="4" w:space="0"/>
              <w:right w:val="nil"/>
            </w:tcBorders>
            <w:shd w:val="clear" w:color="auto" w:fill="FFFFFF"/>
            <w:vAlign w:val="center"/>
          </w:tcPr>
          <w:p w14:paraId="4269C25A">
            <w:pPr>
              <w:spacing w:line="560" w:lineRule="atLeast"/>
              <w:ind w:firstLine="482" w:firstLineChars="200"/>
              <w:jc w:val="center"/>
              <w:rPr>
                <w:rFonts w:hint="eastAsia" w:ascii="宋体" w:hAnsi="宋体" w:eastAsia="宋体" w:cs="方正仿宋_GB2312"/>
                <w:b/>
                <w:color w:val="000000"/>
                <w:sz w:val="24"/>
                <w:szCs w:val="24"/>
                <w14:ligatures w14:val="standardContextual"/>
              </w:rPr>
            </w:pPr>
            <w:r>
              <w:rPr>
                <w:rFonts w:hint="eastAsia" w:ascii="宋体" w:hAnsi="宋体" w:eastAsia="宋体" w:cs="方正仿宋_GB2312"/>
                <w:b/>
                <w:color w:val="000000"/>
                <w:sz w:val="24"/>
                <w:szCs w:val="24"/>
                <w14:ligatures w14:val="standardContextual"/>
              </w:rPr>
              <w:t>机会等级</w:t>
            </w:r>
          </w:p>
        </w:tc>
      </w:tr>
      <w:tr w14:paraId="138A7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1540" w:type="dxa"/>
            <w:tcBorders>
              <w:top w:val="single" w:color="000000" w:sz="4" w:space="0"/>
              <w:left w:val="nil"/>
              <w:bottom w:val="nil"/>
              <w:right w:val="nil"/>
            </w:tcBorders>
            <w:shd w:val="clear" w:color="auto" w:fill="FFFFFF"/>
            <w:vAlign w:val="center"/>
          </w:tcPr>
          <w:p w14:paraId="5566362C">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市场空间</w:t>
            </w:r>
          </w:p>
        </w:tc>
        <w:tc>
          <w:tcPr>
            <w:tcW w:w="5790" w:type="dxa"/>
            <w:tcBorders>
              <w:top w:val="single" w:color="000000" w:sz="4" w:space="0"/>
              <w:left w:val="nil"/>
              <w:bottom w:val="nil"/>
              <w:right w:val="nil"/>
            </w:tcBorders>
            <w:shd w:val="clear" w:color="auto" w:fill="FFFFFF"/>
            <w:vAlign w:val="center"/>
          </w:tcPr>
          <w:p w14:paraId="4D390F39">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中国数字心理健康市场2025年达680亿，CAGR超27%</w:t>
            </w:r>
          </w:p>
        </w:tc>
        <w:tc>
          <w:tcPr>
            <w:tcW w:w="1736" w:type="dxa"/>
            <w:tcBorders>
              <w:top w:val="single" w:color="000000" w:sz="4" w:space="0"/>
              <w:left w:val="nil"/>
              <w:bottom w:val="nil"/>
              <w:right w:val="nil"/>
            </w:tcBorders>
            <w:shd w:val="clear" w:color="auto" w:fill="FFFFFF"/>
            <w:vAlign w:val="center"/>
          </w:tcPr>
          <w:p w14:paraId="2109E45C">
            <w:pPr>
              <w:spacing w:line="560" w:lineRule="atLeast"/>
              <w:ind w:firstLine="480" w:firstLineChars="200"/>
              <w:jc w:val="center"/>
              <w:rPr>
                <w:rFonts w:hint="eastAsia" w:ascii="宋体" w:hAnsi="宋体" w:eastAsia="宋体" w:cs="方正仿宋_GB2312"/>
                <w:bCs/>
                <w:color w:val="000000" w:themeColor="text1"/>
                <w:sz w:val="24"/>
                <w:szCs w:val="24"/>
                <w14:textOutline w14:w="22225" w14:cap="flat" w14:cmpd="sng" w14:algn="ctr">
                  <w14:solidFill>
                    <w14:schemeClr w14:val="accent2"/>
                  </w14:solidFill>
                  <w14:prstDash w14:val="solid"/>
                  <w14:round/>
                </w14:textOutline>
                <w14:textFill>
                  <w14:solidFill>
                    <w14:schemeClr w14:val="tx1"/>
                  </w14:solidFill>
                </w14:textFill>
                <w14:props3d w14:extrusionH="0" w14:contourW="0" w14:prstMaterial="clear"/>
                <w14:ligatures w14:val="standardContextual"/>
              </w:rPr>
            </w:pPr>
            <w:r>
              <w:rPr>
                <w:rFonts w:ascii="Segoe UI Emoji" w:hAnsi="Segoe UI Emoji" w:eastAsia="宋体" w:cs="Segoe UI Emoji"/>
                <w:bCs/>
                <w:color w:val="000000" w:themeColor="text1"/>
                <w:sz w:val="24"/>
                <w:szCs w:val="24"/>
                <w14:textOutline w14:w="22225" w14:cap="flat" w14:cmpd="sng" w14:algn="ctr">
                  <w14:solidFill>
                    <w14:schemeClr w14:val="accent2"/>
                  </w14:solidFill>
                  <w14:prstDash w14:val="solid"/>
                  <w14:round/>
                </w14:textOutline>
                <w14:textFill>
                  <w14:solidFill>
                    <w14:schemeClr w14:val="tx1"/>
                  </w14:solidFill>
                </w14:textFill>
                <w14:props3d w14:extrusionH="0" w14:contourW="0" w14:prstMaterial="clear"/>
                <w14:ligatures w14:val="standardContextual"/>
              </w:rPr>
              <w:t>⭐⭐⭐⭐⭐</w:t>
            </w:r>
          </w:p>
        </w:tc>
      </w:tr>
      <w:tr w14:paraId="173A0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1540" w:type="dxa"/>
            <w:tcBorders>
              <w:top w:val="nil"/>
              <w:left w:val="nil"/>
              <w:bottom w:val="nil"/>
              <w:right w:val="nil"/>
            </w:tcBorders>
            <w:shd w:val="clear" w:color="auto" w:fill="FFFFFF"/>
            <w:vAlign w:val="center"/>
          </w:tcPr>
          <w:p w14:paraId="412DE119">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细分空白</w:t>
            </w:r>
          </w:p>
        </w:tc>
        <w:tc>
          <w:tcPr>
            <w:tcW w:w="5790" w:type="dxa"/>
            <w:tcBorders>
              <w:top w:val="nil"/>
              <w:left w:val="nil"/>
              <w:bottom w:val="nil"/>
              <w:right w:val="nil"/>
            </w:tcBorders>
            <w:shd w:val="clear" w:color="auto" w:fill="FFFFFF"/>
            <w:vAlign w:val="center"/>
          </w:tcPr>
          <w:p w14:paraId="18216403">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中国数字心理健康市场2025年达680亿，CAGR超27%</w:t>
            </w:r>
          </w:p>
        </w:tc>
        <w:tc>
          <w:tcPr>
            <w:tcW w:w="1736" w:type="dxa"/>
            <w:tcBorders>
              <w:top w:val="nil"/>
              <w:left w:val="nil"/>
              <w:bottom w:val="nil"/>
              <w:right w:val="nil"/>
            </w:tcBorders>
            <w:shd w:val="clear" w:color="auto" w:fill="FFFFFF"/>
            <w:vAlign w:val="center"/>
          </w:tcPr>
          <w:p w14:paraId="54067818">
            <w:pPr>
              <w:spacing w:line="560" w:lineRule="atLeast"/>
              <w:ind w:firstLine="480" w:firstLineChars="200"/>
              <w:jc w:val="center"/>
              <w:rPr>
                <w:rFonts w:hint="eastAsia" w:ascii="宋体" w:hAnsi="宋体" w:eastAsia="宋体" w:cs="方正仿宋_GB2312"/>
                <w:bCs/>
                <w:color w:val="000000" w:themeColor="text1"/>
                <w:sz w:val="24"/>
                <w:szCs w:val="24"/>
                <w14:textOutline w14:w="22225" w14:cap="flat" w14:cmpd="sng" w14:algn="ctr">
                  <w14:solidFill>
                    <w14:schemeClr w14:val="accent2"/>
                  </w14:solidFill>
                  <w14:prstDash w14:val="solid"/>
                  <w14:round/>
                </w14:textOutline>
                <w14:textFill>
                  <w14:solidFill>
                    <w14:schemeClr w14:val="tx1"/>
                  </w14:solidFill>
                </w14:textFill>
                <w14:props3d w14:extrusionH="0" w14:contourW="0" w14:prstMaterial="clear"/>
                <w14:ligatures w14:val="standardContextual"/>
              </w:rPr>
            </w:pPr>
            <w:r>
              <w:rPr>
                <w:rFonts w:ascii="Segoe UI Emoji" w:hAnsi="Segoe UI Emoji" w:eastAsia="宋体" w:cs="Segoe UI Emoji"/>
                <w:bCs/>
                <w:color w:val="000000" w:themeColor="text1"/>
                <w:sz w:val="24"/>
                <w:szCs w:val="24"/>
                <w14:textOutline w14:w="22225" w14:cap="flat" w14:cmpd="sng" w14:algn="ctr">
                  <w14:solidFill>
                    <w14:schemeClr w14:val="accent2"/>
                  </w14:solidFill>
                  <w14:prstDash w14:val="solid"/>
                  <w14:round/>
                </w14:textOutline>
                <w14:textFill>
                  <w14:solidFill>
                    <w14:schemeClr w14:val="tx1"/>
                  </w14:solidFill>
                </w14:textFill>
                <w14:props3d w14:extrusionH="0" w14:contourW="0" w14:prstMaterial="clear"/>
                <w14:ligatures w14:val="standardContextual"/>
              </w:rPr>
              <w:t>⭐⭐⭐⭐⭐</w:t>
            </w:r>
          </w:p>
        </w:tc>
      </w:tr>
      <w:tr w14:paraId="33BD4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1540" w:type="dxa"/>
            <w:tcBorders>
              <w:top w:val="nil"/>
              <w:left w:val="nil"/>
              <w:bottom w:val="nil"/>
              <w:right w:val="nil"/>
            </w:tcBorders>
            <w:shd w:val="clear" w:color="auto" w:fill="FFFFFF"/>
            <w:vAlign w:val="center"/>
          </w:tcPr>
          <w:p w14:paraId="27832F55">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用户痛点</w:t>
            </w:r>
          </w:p>
        </w:tc>
        <w:tc>
          <w:tcPr>
            <w:tcW w:w="5790" w:type="dxa"/>
            <w:tcBorders>
              <w:top w:val="nil"/>
              <w:left w:val="nil"/>
              <w:bottom w:val="nil"/>
              <w:right w:val="nil"/>
            </w:tcBorders>
            <w:shd w:val="clear" w:color="auto" w:fill="FFFFFF"/>
            <w:vAlign w:val="center"/>
          </w:tcPr>
          <w:p w14:paraId="6EBB91BD">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76.3%目标人群存在困扰，82.1%愿尝试新方案</w:t>
            </w:r>
          </w:p>
        </w:tc>
        <w:tc>
          <w:tcPr>
            <w:tcW w:w="1736" w:type="dxa"/>
            <w:tcBorders>
              <w:top w:val="nil"/>
              <w:left w:val="nil"/>
              <w:bottom w:val="nil"/>
              <w:right w:val="nil"/>
            </w:tcBorders>
            <w:shd w:val="clear" w:color="auto" w:fill="FFFFFF"/>
            <w:vAlign w:val="center"/>
          </w:tcPr>
          <w:p w14:paraId="2CD2F2E7">
            <w:pPr>
              <w:spacing w:line="560" w:lineRule="atLeast"/>
              <w:ind w:firstLine="480" w:firstLineChars="200"/>
              <w:jc w:val="center"/>
              <w:rPr>
                <w:rFonts w:hint="eastAsia" w:ascii="宋体" w:hAnsi="宋体" w:eastAsia="宋体" w:cs="方正仿宋_GB2312"/>
                <w:bCs/>
                <w:color w:val="000000" w:themeColor="text1"/>
                <w:sz w:val="24"/>
                <w:szCs w:val="24"/>
                <w14:textOutline w14:w="22225" w14:cap="flat" w14:cmpd="sng" w14:algn="ctr">
                  <w14:solidFill>
                    <w14:schemeClr w14:val="accent2"/>
                  </w14:solidFill>
                  <w14:prstDash w14:val="solid"/>
                  <w14:round/>
                </w14:textOutline>
                <w14:textFill>
                  <w14:solidFill>
                    <w14:schemeClr w14:val="tx1"/>
                  </w14:solidFill>
                </w14:textFill>
                <w14:props3d w14:extrusionH="0" w14:contourW="0" w14:prstMaterial="clear"/>
                <w14:ligatures w14:val="standardContextual"/>
              </w:rPr>
            </w:pPr>
            <w:r>
              <w:rPr>
                <w:rFonts w:ascii="Segoe UI Emoji" w:hAnsi="Segoe UI Emoji" w:eastAsia="宋体" w:cs="Segoe UI Emoji"/>
                <w:bCs/>
                <w:color w:val="000000" w:themeColor="text1"/>
                <w:sz w:val="24"/>
                <w:szCs w:val="24"/>
                <w14:textOutline w14:w="22225" w14:cap="flat" w14:cmpd="sng" w14:algn="ctr">
                  <w14:solidFill>
                    <w14:schemeClr w14:val="accent2"/>
                  </w14:solidFill>
                  <w14:prstDash w14:val="solid"/>
                  <w14:round/>
                </w14:textOutline>
                <w14:textFill>
                  <w14:solidFill>
                    <w14:schemeClr w14:val="tx1"/>
                  </w14:solidFill>
                </w14:textFill>
                <w14:props3d w14:extrusionH="0" w14:contourW="0" w14:prstMaterial="clear"/>
                <w14:ligatures w14:val="standardContextual"/>
              </w:rPr>
              <w:t>⭐⭐⭐⭐</w:t>
            </w:r>
          </w:p>
        </w:tc>
      </w:tr>
      <w:tr w14:paraId="75F87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1540" w:type="dxa"/>
            <w:tcBorders>
              <w:top w:val="nil"/>
              <w:left w:val="nil"/>
              <w:bottom w:val="nil"/>
              <w:right w:val="nil"/>
            </w:tcBorders>
            <w:shd w:val="clear" w:color="auto" w:fill="FFFFFF"/>
            <w:vAlign w:val="center"/>
          </w:tcPr>
          <w:p w14:paraId="7FB8CB0C">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付费意愿</w:t>
            </w:r>
          </w:p>
        </w:tc>
        <w:tc>
          <w:tcPr>
            <w:tcW w:w="5790" w:type="dxa"/>
            <w:tcBorders>
              <w:top w:val="nil"/>
              <w:left w:val="nil"/>
              <w:bottom w:val="nil"/>
              <w:right w:val="nil"/>
            </w:tcBorders>
            <w:shd w:val="clear" w:color="auto" w:fill="FFFFFF"/>
            <w:vAlign w:val="center"/>
          </w:tcPr>
          <w:p w14:paraId="6F52839E">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68.5%有意愿付费，B端采购需求旺盛</w:t>
            </w:r>
          </w:p>
        </w:tc>
        <w:tc>
          <w:tcPr>
            <w:tcW w:w="1736" w:type="dxa"/>
            <w:tcBorders>
              <w:top w:val="nil"/>
              <w:left w:val="nil"/>
              <w:bottom w:val="nil"/>
              <w:right w:val="nil"/>
            </w:tcBorders>
            <w:shd w:val="clear" w:color="auto" w:fill="FFFFFF"/>
            <w:vAlign w:val="center"/>
          </w:tcPr>
          <w:p w14:paraId="4B9032C4">
            <w:pPr>
              <w:spacing w:line="560" w:lineRule="atLeast"/>
              <w:ind w:firstLine="480" w:firstLineChars="200"/>
              <w:jc w:val="center"/>
              <w:rPr>
                <w:rFonts w:hint="eastAsia" w:ascii="宋体" w:hAnsi="宋体" w:eastAsia="宋体" w:cs="方正仿宋_GB2312"/>
                <w:bCs/>
                <w:color w:val="000000" w:themeColor="text1"/>
                <w:sz w:val="24"/>
                <w:szCs w:val="24"/>
                <w14:textOutline w14:w="22225" w14:cap="flat" w14:cmpd="sng" w14:algn="ctr">
                  <w14:solidFill>
                    <w14:schemeClr w14:val="accent2"/>
                  </w14:solidFill>
                  <w14:prstDash w14:val="solid"/>
                  <w14:round/>
                </w14:textOutline>
                <w14:textFill>
                  <w14:solidFill>
                    <w14:schemeClr w14:val="tx1"/>
                  </w14:solidFill>
                </w14:textFill>
                <w14:props3d w14:extrusionH="0" w14:contourW="0" w14:prstMaterial="clear"/>
                <w14:ligatures w14:val="standardContextual"/>
              </w:rPr>
            </w:pPr>
            <w:r>
              <w:rPr>
                <w:rFonts w:ascii="Segoe UI Emoji" w:hAnsi="Segoe UI Emoji" w:eastAsia="宋体" w:cs="Segoe UI Emoji"/>
                <w:bCs/>
                <w:color w:val="000000" w:themeColor="text1"/>
                <w:sz w:val="24"/>
                <w:szCs w:val="24"/>
                <w14:textOutline w14:w="22225" w14:cap="flat" w14:cmpd="sng" w14:algn="ctr">
                  <w14:solidFill>
                    <w14:schemeClr w14:val="accent2"/>
                  </w14:solidFill>
                  <w14:prstDash w14:val="solid"/>
                  <w14:round/>
                </w14:textOutline>
                <w14:textFill>
                  <w14:solidFill>
                    <w14:schemeClr w14:val="tx1"/>
                  </w14:solidFill>
                </w14:textFill>
                <w14:props3d w14:extrusionH="0" w14:contourW="0" w14:prstMaterial="clear"/>
                <w14:ligatures w14:val="standardContextual"/>
              </w:rPr>
              <w:t>⭐⭐⭐⭐</w:t>
            </w:r>
          </w:p>
        </w:tc>
      </w:tr>
      <w:tr w14:paraId="36873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1540" w:type="dxa"/>
            <w:tcBorders>
              <w:top w:val="nil"/>
              <w:left w:val="nil"/>
              <w:bottom w:val="single" w:color="000000" w:sz="12" w:space="0"/>
              <w:right w:val="nil"/>
            </w:tcBorders>
            <w:shd w:val="clear" w:color="auto" w:fill="FFFFFF"/>
            <w:vAlign w:val="center"/>
          </w:tcPr>
          <w:p w14:paraId="583289AE">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政策窗口</w:t>
            </w:r>
          </w:p>
        </w:tc>
        <w:tc>
          <w:tcPr>
            <w:tcW w:w="5790" w:type="dxa"/>
            <w:tcBorders>
              <w:top w:val="nil"/>
              <w:left w:val="nil"/>
              <w:bottom w:val="single" w:color="000000" w:sz="12" w:space="0"/>
              <w:right w:val="nil"/>
            </w:tcBorders>
            <w:shd w:val="clear" w:color="auto" w:fill="FFFFFF"/>
            <w:vAlign w:val="center"/>
          </w:tcPr>
          <w:p w14:paraId="25D8BC3E">
            <w:pPr>
              <w:spacing w:line="560" w:lineRule="atLeast"/>
              <w:ind w:firstLine="480" w:firstLineChars="200"/>
              <w:jc w:val="center"/>
              <w:rPr>
                <w:rFonts w:hint="eastAsia" w:ascii="宋体" w:hAnsi="宋体" w:eastAsia="宋体" w:cs="方正仿宋_GB2312"/>
                <w:color w:val="000000"/>
                <w:sz w:val="24"/>
                <w:szCs w:val="24"/>
                <w14:ligatures w14:val="standardContextual"/>
              </w:rPr>
            </w:pPr>
            <w:r>
              <w:rPr>
                <w:rFonts w:hint="eastAsia" w:ascii="宋体" w:hAnsi="宋体" w:eastAsia="宋体" w:cs="方正仿宋_GB2312"/>
                <w:color w:val="000000"/>
                <w:sz w:val="24"/>
                <w:szCs w:val="24"/>
                <w14:ligatures w14:val="standardContextual"/>
              </w:rPr>
              <w:t>“十五五”心理健康专项 + AI医疗政策双轮驱动</w:t>
            </w:r>
          </w:p>
        </w:tc>
        <w:tc>
          <w:tcPr>
            <w:tcW w:w="1736" w:type="dxa"/>
            <w:tcBorders>
              <w:top w:val="nil"/>
              <w:left w:val="nil"/>
              <w:bottom w:val="single" w:color="000000" w:sz="12" w:space="0"/>
              <w:right w:val="nil"/>
            </w:tcBorders>
            <w:shd w:val="clear" w:color="auto" w:fill="FFFFFF"/>
            <w:vAlign w:val="center"/>
          </w:tcPr>
          <w:p w14:paraId="06BA5CCF">
            <w:pPr>
              <w:spacing w:line="560" w:lineRule="atLeast"/>
              <w:ind w:firstLine="480" w:firstLineChars="200"/>
              <w:jc w:val="center"/>
              <w:rPr>
                <w:rFonts w:hint="eastAsia" w:ascii="宋体" w:hAnsi="宋体" w:eastAsia="宋体" w:cs="方正仿宋_GB2312"/>
                <w:bCs/>
                <w:color w:val="000000" w:themeColor="text1"/>
                <w:sz w:val="24"/>
                <w:szCs w:val="24"/>
                <w14:textOutline w14:w="22225" w14:cap="flat" w14:cmpd="sng" w14:algn="ctr">
                  <w14:solidFill>
                    <w14:schemeClr w14:val="accent2"/>
                  </w14:solidFill>
                  <w14:prstDash w14:val="solid"/>
                  <w14:round/>
                </w14:textOutline>
                <w14:textFill>
                  <w14:solidFill>
                    <w14:schemeClr w14:val="tx1"/>
                  </w14:solidFill>
                </w14:textFill>
                <w14:props3d w14:extrusionH="0" w14:contourW="0" w14:prstMaterial="clear"/>
                <w14:ligatures w14:val="standardContextual"/>
              </w:rPr>
            </w:pPr>
            <w:r>
              <w:rPr>
                <w:rFonts w:ascii="Segoe UI Emoji" w:hAnsi="Segoe UI Emoji" w:eastAsia="宋体" w:cs="Segoe UI Emoji"/>
                <w:bCs/>
                <w:color w:val="000000" w:themeColor="text1"/>
                <w:sz w:val="24"/>
                <w:szCs w:val="24"/>
                <w14:textOutline w14:w="22225" w14:cap="flat" w14:cmpd="sng" w14:algn="ctr">
                  <w14:solidFill>
                    <w14:schemeClr w14:val="accent2"/>
                  </w14:solidFill>
                  <w14:prstDash w14:val="solid"/>
                  <w14:round/>
                </w14:textOutline>
                <w14:textFill>
                  <w14:solidFill>
                    <w14:schemeClr w14:val="tx1"/>
                  </w14:solidFill>
                </w14:textFill>
                <w14:props3d w14:extrusionH="0" w14:contourW="0" w14:prstMaterial="clear"/>
                <w14:ligatures w14:val="standardContextual"/>
              </w:rPr>
              <w:t>⭐⭐⭐⭐⭐</w:t>
            </w:r>
          </w:p>
        </w:tc>
      </w:tr>
    </w:tbl>
    <w:p w14:paraId="7BC4796D">
      <w:pPr>
        <w:spacing w:line="560" w:lineRule="atLeast"/>
        <w:ind w:firstLine="480" w:firstLineChars="200"/>
        <w:rPr>
          <w:rFonts w:hint="eastAsia" w:ascii="宋体" w:hAnsi="宋体" w:eastAsia="宋体" w:cs="方正仿宋_GB2312"/>
          <w:sz w:val="24"/>
          <w:szCs w:val="24"/>
        </w:rPr>
      </w:pPr>
      <w:r>
        <w:rPr>
          <w:rFonts w:hint="eastAsia" w:ascii="宋体" w:hAnsi="宋体" w:eastAsia="宋体" w:cs="方正仿宋_GB2312"/>
          <w:sz w:val="24"/>
          <w:szCs w:val="24"/>
        </w:rPr>
        <w:t>核心结论：“心安动识”所处的赛道，是一个政策支持、市场广阔、竞争薄弱、需求真实的“四好赛道”。项目的核心任务不是“创造需求”，而是用技术“满足一个长期被忽视的真实需求”。</w:t>
      </w:r>
    </w:p>
    <w:p w14:paraId="3B73507F">
      <w:pPr>
        <w:spacing w:line="560" w:lineRule="atLeast"/>
        <w:ind w:firstLine="480" w:firstLineChars="200"/>
        <w:rPr>
          <w:rFonts w:hint="eastAsia" w:ascii="宋体" w:hAnsi="宋体" w:eastAsia="宋体" w:cs="黑体"/>
          <w:sz w:val="24"/>
          <w:szCs w:val="24"/>
        </w:rPr>
      </w:pPr>
    </w:p>
    <w:p w14:paraId="51E3E264">
      <w:pPr>
        <w:pStyle w:val="52"/>
        <w:rPr>
          <w:rFonts w:hint="eastAsia"/>
        </w:rPr>
      </w:pPr>
      <w:bookmarkStart w:id="67" w:name="_Toc232355811"/>
      <w:r>
        <w:rPr>
          <w:rFonts w:hint="eastAsia"/>
        </w:rPr>
        <w:t>六．三阶段发展战略</w:t>
      </w:r>
      <w:bookmarkEnd w:id="67"/>
    </w:p>
    <w:tbl>
      <w:tblPr>
        <w:tblStyle w:val="26"/>
        <w:tblW w:w="86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0"/>
        <w:gridCol w:w="2436"/>
        <w:gridCol w:w="2436"/>
        <w:gridCol w:w="2487"/>
      </w:tblGrid>
      <w:tr w14:paraId="4E92E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jc w:val="center"/>
        </w:trPr>
        <w:tc>
          <w:tcPr>
            <w:tcW w:w="1479" w:type="dxa"/>
            <w:tcBorders>
              <w:top w:val="single" w:color="000000" w:sz="12" w:space="0"/>
              <w:left w:val="nil"/>
              <w:bottom w:val="single" w:color="000000" w:sz="4" w:space="0"/>
              <w:right w:val="nil"/>
              <w:tl2br w:val="nil"/>
            </w:tcBorders>
            <w:shd w:val="clear" w:color="auto" w:fill="FFFFFF"/>
            <w:vAlign w:val="center"/>
          </w:tcPr>
          <w:p w14:paraId="2E70F065">
            <w:pPr>
              <w:spacing w:line="560" w:lineRule="atLeast"/>
              <w:ind w:firstLine="482" w:firstLineChars="200"/>
              <w:jc w:val="center"/>
              <w:rPr>
                <w:rFonts w:hint="eastAsia" w:ascii="宋体" w:hAnsi="宋体" w:eastAsia="宋体" w:cs="方正仿宋_GB2312"/>
                <w:b/>
                <w:color w:val="000000"/>
                <w:sz w:val="24"/>
                <w:szCs w:val="24"/>
                <w14:ligatures w14:val="standardContextual"/>
              </w:rPr>
            </w:pPr>
          </w:p>
        </w:tc>
        <w:tc>
          <w:tcPr>
            <w:tcW w:w="2347" w:type="dxa"/>
            <w:tcBorders>
              <w:top w:val="single" w:color="000000" w:sz="12" w:space="0"/>
              <w:left w:val="nil"/>
              <w:bottom w:val="single" w:color="000000" w:sz="4" w:space="0"/>
              <w:right w:val="nil"/>
            </w:tcBorders>
            <w:shd w:val="clear" w:color="auto" w:fill="FFFFFF"/>
            <w:vAlign w:val="center"/>
          </w:tcPr>
          <w:p w14:paraId="3DC312E8">
            <w:pPr>
              <w:spacing w:line="560" w:lineRule="atLeast"/>
              <w:ind w:firstLine="482" w:firstLineChars="200"/>
              <w:jc w:val="center"/>
              <w:rPr>
                <w:rFonts w:hint="eastAsia" w:ascii="宋体" w:hAnsi="宋体" w:eastAsia="宋体" w:cs="方正仿宋_GB2312"/>
                <w:b/>
                <w:color w:val="000000"/>
                <w:sz w:val="24"/>
                <w:szCs w:val="24"/>
                <w14:ligatures w14:val="standardContextual"/>
              </w:rPr>
            </w:pPr>
            <w:r>
              <w:rPr>
                <w:rFonts w:hint="eastAsia" w:ascii="宋体" w:hAnsi="宋体" w:eastAsia="宋体" w:cs="方正仿宋_GB2312"/>
                <w:b/>
                <w:color w:val="000000"/>
                <w:sz w:val="24"/>
                <w:szCs w:val="24"/>
                <w14:ligatures w14:val="standardContextual"/>
              </w:rPr>
              <w:t>第一阶段</w:t>
            </w:r>
          </w:p>
          <w:p w14:paraId="7FB91B4E">
            <w:pPr>
              <w:spacing w:line="560" w:lineRule="atLeast"/>
              <w:ind w:firstLine="482" w:firstLineChars="200"/>
              <w:jc w:val="center"/>
              <w:rPr>
                <w:rFonts w:hint="eastAsia" w:ascii="宋体" w:hAnsi="宋体" w:eastAsia="宋体" w:cs="方正仿宋_GB2312"/>
                <w:b/>
                <w:color w:val="000000"/>
                <w:sz w:val="24"/>
                <w:szCs w:val="24"/>
                <w14:ligatures w14:val="standardContextual"/>
              </w:rPr>
            </w:pPr>
            <w:r>
              <w:rPr>
                <w:rFonts w:hint="eastAsia" w:ascii="宋体" w:hAnsi="宋体" w:eastAsia="宋体" w:cs="方正仿宋_GB2312"/>
                <w:b/>
                <w:color w:val="000000"/>
                <w:sz w:val="24"/>
                <w:szCs w:val="24"/>
                <w14:ligatures w14:val="standardContextual"/>
              </w:rPr>
              <w:t>MVP验证期</w:t>
            </w:r>
          </w:p>
        </w:tc>
        <w:tc>
          <w:tcPr>
            <w:tcW w:w="2347" w:type="dxa"/>
            <w:tcBorders>
              <w:top w:val="single" w:color="000000" w:sz="12" w:space="0"/>
              <w:left w:val="nil"/>
              <w:bottom w:val="single" w:color="000000" w:sz="4" w:space="0"/>
              <w:right w:val="nil"/>
            </w:tcBorders>
            <w:shd w:val="clear" w:color="auto" w:fill="FFFFFF"/>
            <w:vAlign w:val="center"/>
          </w:tcPr>
          <w:p w14:paraId="7B59750C">
            <w:pPr>
              <w:spacing w:line="560" w:lineRule="atLeast"/>
              <w:ind w:firstLine="482" w:firstLineChars="200"/>
              <w:jc w:val="center"/>
              <w:rPr>
                <w:rFonts w:hint="eastAsia" w:ascii="宋体" w:hAnsi="宋体" w:eastAsia="宋体" w:cs="方正仿宋_GB2312"/>
                <w:b/>
                <w:color w:val="000000"/>
                <w:sz w:val="24"/>
                <w:szCs w:val="24"/>
                <w14:ligatures w14:val="standardContextual"/>
              </w:rPr>
            </w:pPr>
            <w:r>
              <w:rPr>
                <w:rFonts w:hint="eastAsia" w:ascii="宋体" w:hAnsi="宋体" w:eastAsia="宋体" w:cs="方正仿宋_GB2312"/>
                <w:b/>
                <w:color w:val="000000"/>
                <w:sz w:val="24"/>
                <w:szCs w:val="24"/>
                <w14:ligatures w14:val="standardContextual"/>
              </w:rPr>
              <w:t>第二阶段</w:t>
            </w:r>
          </w:p>
          <w:p w14:paraId="31EC34FD">
            <w:pPr>
              <w:spacing w:line="560" w:lineRule="atLeast"/>
              <w:ind w:firstLine="482" w:firstLineChars="200"/>
              <w:jc w:val="center"/>
              <w:rPr>
                <w:rFonts w:hint="eastAsia" w:ascii="宋体" w:hAnsi="宋体" w:eastAsia="宋体" w:cs="方正仿宋_GB2312"/>
                <w:b/>
                <w:color w:val="000000"/>
                <w:sz w:val="24"/>
                <w:szCs w:val="24"/>
                <w14:ligatures w14:val="standardContextual"/>
              </w:rPr>
            </w:pPr>
            <w:r>
              <w:rPr>
                <w:rFonts w:hint="eastAsia" w:ascii="宋体" w:hAnsi="宋体" w:eastAsia="宋体" w:cs="方正仿宋_GB2312"/>
                <w:b/>
                <w:color w:val="000000"/>
                <w:sz w:val="24"/>
                <w:szCs w:val="24"/>
                <w14:ligatures w14:val="standardContextual"/>
              </w:rPr>
              <w:t>市场推广期</w:t>
            </w:r>
          </w:p>
        </w:tc>
        <w:tc>
          <w:tcPr>
            <w:tcW w:w="2506" w:type="dxa"/>
            <w:tcBorders>
              <w:top w:val="single" w:color="000000" w:sz="12" w:space="0"/>
              <w:left w:val="nil"/>
              <w:bottom w:val="single" w:color="000000" w:sz="4" w:space="0"/>
              <w:right w:val="nil"/>
            </w:tcBorders>
            <w:shd w:val="clear" w:color="auto" w:fill="FFFFFF"/>
            <w:vAlign w:val="center"/>
          </w:tcPr>
          <w:p w14:paraId="4DB9897A">
            <w:pPr>
              <w:spacing w:line="560" w:lineRule="atLeast"/>
              <w:ind w:firstLine="482" w:firstLineChars="200"/>
              <w:jc w:val="center"/>
              <w:rPr>
                <w:rFonts w:hint="eastAsia" w:ascii="宋体" w:hAnsi="宋体" w:eastAsia="宋体" w:cs="方正仿宋_GB2312"/>
                <w:b/>
                <w:color w:val="000000"/>
                <w:sz w:val="24"/>
                <w:szCs w:val="24"/>
                <w14:ligatures w14:val="standardContextual"/>
              </w:rPr>
            </w:pPr>
            <w:r>
              <w:rPr>
                <w:rFonts w:hint="eastAsia" w:ascii="宋体" w:hAnsi="宋体" w:eastAsia="宋体" w:cs="方正仿宋_GB2312"/>
                <w:b/>
                <w:color w:val="000000"/>
                <w:sz w:val="24"/>
                <w:szCs w:val="24"/>
                <w14:ligatures w14:val="standardContextual"/>
              </w:rPr>
              <w:t>第三阶段</w:t>
            </w:r>
          </w:p>
          <w:p w14:paraId="61DBF6AB">
            <w:pPr>
              <w:spacing w:line="560" w:lineRule="atLeast"/>
              <w:ind w:firstLine="482" w:firstLineChars="200"/>
              <w:jc w:val="center"/>
              <w:rPr>
                <w:rFonts w:hint="eastAsia" w:ascii="宋体" w:hAnsi="宋体" w:eastAsia="宋体" w:cs="方正仿宋_GB2312"/>
                <w:b/>
                <w:color w:val="000000"/>
                <w:sz w:val="24"/>
                <w:szCs w:val="24"/>
                <w14:ligatures w14:val="standardContextual"/>
              </w:rPr>
            </w:pPr>
            <w:r>
              <w:rPr>
                <w:rFonts w:hint="eastAsia" w:ascii="宋体" w:hAnsi="宋体" w:eastAsia="宋体" w:cs="方正仿宋_GB2312"/>
                <w:b/>
                <w:color w:val="000000"/>
                <w:sz w:val="24"/>
                <w:szCs w:val="24"/>
                <w14:ligatures w14:val="standardContextual"/>
              </w:rPr>
              <w:t>规模化增长期</w:t>
            </w:r>
          </w:p>
        </w:tc>
      </w:tr>
      <w:tr w14:paraId="1E78B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jc w:val="center"/>
        </w:trPr>
        <w:tc>
          <w:tcPr>
            <w:tcW w:w="1479" w:type="dxa"/>
            <w:tcBorders>
              <w:top w:val="single" w:color="000000" w:sz="4" w:space="0"/>
              <w:left w:val="nil"/>
              <w:bottom w:val="nil"/>
              <w:right w:val="nil"/>
            </w:tcBorders>
            <w:shd w:val="clear" w:color="auto" w:fill="FFFFFF"/>
            <w:vAlign w:val="center"/>
          </w:tcPr>
          <w:p w14:paraId="74ACF06E">
            <w:pPr>
              <w:spacing w:line="560" w:lineRule="atLeast"/>
              <w:ind w:firstLine="480" w:firstLineChars="200"/>
              <w:jc w:val="center"/>
              <w:rPr>
                <w:rFonts w:hint="eastAsia" w:ascii="宋体" w:hAnsi="宋体" w:eastAsia="宋体" w:cs="方正仿宋_GB2312"/>
                <w:bCs/>
                <w:color w:val="000000"/>
                <w:sz w:val="24"/>
                <w:szCs w:val="24"/>
                <w14:ligatures w14:val="standardContextual"/>
              </w:rPr>
            </w:pPr>
            <w:r>
              <w:rPr>
                <w:rFonts w:hint="eastAsia" w:ascii="宋体" w:hAnsi="宋体" w:eastAsia="宋体" w:cs="方正仿宋_GB2312"/>
                <w:bCs/>
                <w:color w:val="000000"/>
                <w:sz w:val="24"/>
                <w:szCs w:val="24"/>
                <w14:ligatures w14:val="standardContextual"/>
              </w:rPr>
              <w:t>时间范围</w:t>
            </w:r>
          </w:p>
        </w:tc>
        <w:tc>
          <w:tcPr>
            <w:tcW w:w="2347" w:type="dxa"/>
            <w:tcBorders>
              <w:top w:val="single" w:color="000000" w:sz="4" w:space="0"/>
              <w:left w:val="nil"/>
              <w:bottom w:val="nil"/>
              <w:right w:val="nil"/>
            </w:tcBorders>
            <w:shd w:val="clear" w:color="auto" w:fill="FFFFFF"/>
            <w:vAlign w:val="center"/>
          </w:tcPr>
          <w:p w14:paraId="2990A160">
            <w:pPr>
              <w:spacing w:line="560" w:lineRule="atLeast"/>
              <w:ind w:firstLine="480" w:firstLineChars="200"/>
              <w:jc w:val="center"/>
              <w:rPr>
                <w:rFonts w:hint="eastAsia" w:ascii="宋体" w:hAnsi="宋体" w:eastAsia="宋体" w:cs="方正仿宋_GB2312"/>
                <w:bCs/>
                <w:color w:val="000000"/>
                <w:sz w:val="24"/>
                <w:szCs w:val="24"/>
                <w14:ligatures w14:val="standardContextual"/>
              </w:rPr>
            </w:pPr>
            <w:r>
              <w:rPr>
                <w:rFonts w:hint="eastAsia" w:ascii="宋体" w:hAnsi="宋体" w:eastAsia="宋体" w:cs="方正仿宋_GB2312"/>
                <w:bCs/>
                <w:color w:val="000000"/>
                <w:sz w:val="24"/>
                <w:szCs w:val="24"/>
                <w14:ligatures w14:val="standardContextual"/>
              </w:rPr>
              <w:t>2026.06-2026.12</w:t>
            </w:r>
          </w:p>
        </w:tc>
        <w:tc>
          <w:tcPr>
            <w:tcW w:w="2347" w:type="dxa"/>
            <w:tcBorders>
              <w:top w:val="single" w:color="000000" w:sz="4" w:space="0"/>
              <w:left w:val="nil"/>
              <w:bottom w:val="nil"/>
              <w:right w:val="nil"/>
            </w:tcBorders>
            <w:shd w:val="clear" w:color="auto" w:fill="FFFFFF"/>
            <w:vAlign w:val="center"/>
          </w:tcPr>
          <w:p w14:paraId="2C8BABA1">
            <w:pPr>
              <w:spacing w:line="560" w:lineRule="atLeast"/>
              <w:ind w:firstLine="480" w:firstLineChars="200"/>
              <w:jc w:val="center"/>
              <w:rPr>
                <w:rFonts w:hint="eastAsia" w:ascii="宋体" w:hAnsi="宋体" w:eastAsia="宋体" w:cs="方正仿宋_GB2312"/>
                <w:bCs/>
                <w:color w:val="000000"/>
                <w:sz w:val="24"/>
                <w:szCs w:val="24"/>
                <w14:ligatures w14:val="standardContextual"/>
              </w:rPr>
            </w:pPr>
            <w:r>
              <w:rPr>
                <w:rFonts w:hint="eastAsia" w:ascii="宋体" w:hAnsi="宋体" w:eastAsia="宋体" w:cs="方正仿宋_GB2312"/>
                <w:bCs/>
                <w:color w:val="000000"/>
                <w:sz w:val="24"/>
                <w:szCs w:val="24"/>
                <w14:ligatures w14:val="standardContextual"/>
              </w:rPr>
              <w:t>2027.01-2027.12</w:t>
            </w:r>
          </w:p>
        </w:tc>
        <w:tc>
          <w:tcPr>
            <w:tcW w:w="2506" w:type="dxa"/>
            <w:tcBorders>
              <w:top w:val="single" w:color="000000" w:sz="4" w:space="0"/>
              <w:left w:val="nil"/>
              <w:bottom w:val="nil"/>
              <w:right w:val="nil"/>
            </w:tcBorders>
            <w:shd w:val="clear" w:color="auto" w:fill="FFFFFF"/>
            <w:vAlign w:val="center"/>
          </w:tcPr>
          <w:p w14:paraId="05440B78">
            <w:pPr>
              <w:spacing w:line="560" w:lineRule="atLeast"/>
              <w:ind w:firstLine="480" w:firstLineChars="200"/>
              <w:jc w:val="center"/>
              <w:rPr>
                <w:rFonts w:hint="eastAsia" w:ascii="宋体" w:hAnsi="宋体" w:eastAsia="宋体" w:cs="方正仿宋_GB2312"/>
                <w:bCs/>
                <w:color w:val="000000"/>
                <w:sz w:val="24"/>
                <w:szCs w:val="24"/>
                <w14:ligatures w14:val="standardContextual"/>
              </w:rPr>
            </w:pPr>
            <w:r>
              <w:rPr>
                <w:rFonts w:hint="eastAsia" w:ascii="宋体" w:hAnsi="宋体" w:eastAsia="宋体" w:cs="方正仿宋_GB2312"/>
                <w:bCs/>
                <w:color w:val="000000"/>
                <w:sz w:val="24"/>
                <w:szCs w:val="24"/>
                <w14:ligatures w14:val="standardContextual"/>
              </w:rPr>
              <w:t>2028.01-2029.12</w:t>
            </w:r>
          </w:p>
        </w:tc>
      </w:tr>
      <w:tr w14:paraId="2AB2E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79" w:type="dxa"/>
            <w:tcBorders>
              <w:top w:val="nil"/>
              <w:left w:val="nil"/>
              <w:bottom w:val="nil"/>
              <w:right w:val="nil"/>
            </w:tcBorders>
            <w:shd w:val="clear" w:color="auto" w:fill="FFFFFF"/>
            <w:vAlign w:val="center"/>
          </w:tcPr>
          <w:p w14:paraId="17C8EE0F">
            <w:pPr>
              <w:spacing w:line="560" w:lineRule="atLeast"/>
              <w:ind w:firstLine="480" w:firstLineChars="200"/>
              <w:jc w:val="center"/>
              <w:rPr>
                <w:rFonts w:hint="eastAsia" w:ascii="宋体" w:hAnsi="宋体" w:eastAsia="宋体" w:cs="方正仿宋_GB2312"/>
                <w:bCs/>
                <w:color w:val="000000"/>
                <w:sz w:val="24"/>
                <w:szCs w:val="24"/>
                <w14:ligatures w14:val="standardContextual"/>
              </w:rPr>
            </w:pPr>
            <w:r>
              <w:rPr>
                <w:rFonts w:hint="eastAsia" w:ascii="宋体" w:hAnsi="宋体" w:eastAsia="宋体" w:cs="方正仿宋_GB2312"/>
                <w:bCs/>
                <w:color w:val="000000"/>
                <w:sz w:val="24"/>
                <w:szCs w:val="24"/>
                <w14:ligatures w14:val="standardContextual"/>
              </w:rPr>
              <w:t>融资阶段</w:t>
            </w:r>
          </w:p>
        </w:tc>
        <w:tc>
          <w:tcPr>
            <w:tcW w:w="2347" w:type="dxa"/>
            <w:tcBorders>
              <w:top w:val="nil"/>
              <w:left w:val="nil"/>
              <w:bottom w:val="nil"/>
              <w:right w:val="nil"/>
            </w:tcBorders>
            <w:shd w:val="clear" w:color="auto" w:fill="FFFFFF"/>
            <w:vAlign w:val="center"/>
          </w:tcPr>
          <w:p w14:paraId="126164BB">
            <w:pPr>
              <w:spacing w:line="560" w:lineRule="atLeast"/>
              <w:ind w:firstLine="480" w:firstLineChars="200"/>
              <w:jc w:val="center"/>
              <w:rPr>
                <w:rFonts w:hint="eastAsia" w:ascii="宋体" w:hAnsi="宋体" w:eastAsia="宋体" w:cs="方正仿宋_GB2312"/>
                <w:bCs/>
                <w:color w:val="000000"/>
                <w:sz w:val="24"/>
                <w:szCs w:val="24"/>
                <w14:ligatures w14:val="standardContextual"/>
              </w:rPr>
            </w:pPr>
            <w:r>
              <w:rPr>
                <w:rFonts w:hint="eastAsia" w:ascii="宋体" w:hAnsi="宋体" w:eastAsia="宋体" w:cs="方正仿宋_GB2312"/>
                <w:bCs/>
                <w:color w:val="000000"/>
                <w:sz w:val="24"/>
                <w:szCs w:val="24"/>
                <w14:ligatures w14:val="standardContextual"/>
              </w:rPr>
              <w:t>种子轮</w:t>
            </w:r>
          </w:p>
        </w:tc>
        <w:tc>
          <w:tcPr>
            <w:tcW w:w="2347" w:type="dxa"/>
            <w:tcBorders>
              <w:top w:val="nil"/>
              <w:left w:val="nil"/>
              <w:bottom w:val="nil"/>
              <w:right w:val="nil"/>
            </w:tcBorders>
            <w:shd w:val="clear" w:color="auto" w:fill="FFFFFF"/>
            <w:vAlign w:val="center"/>
          </w:tcPr>
          <w:p w14:paraId="3D622503">
            <w:pPr>
              <w:spacing w:line="560" w:lineRule="atLeast"/>
              <w:ind w:firstLine="480" w:firstLineChars="200"/>
              <w:jc w:val="center"/>
              <w:rPr>
                <w:rFonts w:hint="eastAsia" w:ascii="宋体" w:hAnsi="宋体" w:eastAsia="宋体" w:cs="方正仿宋_GB2312"/>
                <w:bCs/>
                <w:color w:val="000000"/>
                <w:sz w:val="24"/>
                <w:szCs w:val="24"/>
                <w14:ligatures w14:val="standardContextual"/>
              </w:rPr>
            </w:pPr>
            <w:r>
              <w:rPr>
                <w:rFonts w:hint="eastAsia" w:ascii="宋体" w:hAnsi="宋体" w:eastAsia="宋体" w:cs="方正仿宋_GB2312"/>
                <w:bCs/>
                <w:color w:val="000000"/>
                <w:sz w:val="24"/>
                <w:szCs w:val="24"/>
                <w14:ligatures w14:val="standardContextual"/>
              </w:rPr>
              <w:t>天使轮/A轮</w:t>
            </w:r>
          </w:p>
        </w:tc>
        <w:tc>
          <w:tcPr>
            <w:tcW w:w="2506" w:type="dxa"/>
            <w:tcBorders>
              <w:top w:val="nil"/>
              <w:left w:val="nil"/>
              <w:bottom w:val="nil"/>
              <w:right w:val="nil"/>
            </w:tcBorders>
            <w:shd w:val="clear" w:color="auto" w:fill="FFFFFF"/>
            <w:vAlign w:val="center"/>
          </w:tcPr>
          <w:p w14:paraId="7932BE13">
            <w:pPr>
              <w:spacing w:line="560" w:lineRule="atLeast"/>
              <w:ind w:firstLine="480" w:firstLineChars="200"/>
              <w:jc w:val="center"/>
              <w:rPr>
                <w:rFonts w:hint="eastAsia" w:ascii="宋体" w:hAnsi="宋体" w:eastAsia="宋体" w:cs="方正仿宋_GB2312"/>
                <w:bCs/>
                <w:color w:val="000000"/>
                <w:sz w:val="24"/>
                <w:szCs w:val="24"/>
                <w14:ligatures w14:val="standardContextual"/>
              </w:rPr>
            </w:pPr>
            <w:r>
              <w:rPr>
                <w:rFonts w:hint="eastAsia" w:ascii="宋体" w:hAnsi="宋体" w:eastAsia="宋体" w:cs="方正仿宋_GB2312"/>
                <w:bCs/>
                <w:color w:val="000000"/>
                <w:sz w:val="24"/>
                <w:szCs w:val="24"/>
                <w14:ligatures w14:val="standardContextual"/>
              </w:rPr>
              <w:t>B轮</w:t>
            </w:r>
          </w:p>
        </w:tc>
      </w:tr>
      <w:tr w14:paraId="06E87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479" w:type="dxa"/>
            <w:tcBorders>
              <w:top w:val="nil"/>
              <w:left w:val="nil"/>
              <w:bottom w:val="nil"/>
              <w:right w:val="nil"/>
            </w:tcBorders>
            <w:shd w:val="clear" w:color="auto" w:fill="FFFFFF"/>
            <w:vAlign w:val="center"/>
          </w:tcPr>
          <w:p w14:paraId="2C033686">
            <w:pPr>
              <w:spacing w:line="560" w:lineRule="atLeast"/>
              <w:ind w:firstLine="480" w:firstLineChars="200"/>
              <w:jc w:val="center"/>
              <w:rPr>
                <w:rFonts w:hint="eastAsia" w:ascii="宋体" w:hAnsi="宋体" w:eastAsia="宋体" w:cs="方正仿宋_GB2312"/>
                <w:bCs/>
                <w:color w:val="000000"/>
                <w:sz w:val="24"/>
                <w:szCs w:val="24"/>
                <w14:ligatures w14:val="standardContextual"/>
              </w:rPr>
            </w:pPr>
            <w:r>
              <w:rPr>
                <w:rFonts w:hint="eastAsia" w:ascii="宋体" w:hAnsi="宋体" w:eastAsia="宋体" w:cs="方正仿宋_GB2312"/>
                <w:bCs/>
                <w:color w:val="000000"/>
                <w:sz w:val="24"/>
                <w:szCs w:val="24"/>
                <w14:ligatures w14:val="standardContextual"/>
              </w:rPr>
              <w:t>核心目标</w:t>
            </w:r>
          </w:p>
        </w:tc>
        <w:tc>
          <w:tcPr>
            <w:tcW w:w="2347" w:type="dxa"/>
            <w:tcBorders>
              <w:top w:val="nil"/>
              <w:left w:val="nil"/>
              <w:bottom w:val="nil"/>
              <w:right w:val="nil"/>
            </w:tcBorders>
            <w:shd w:val="clear" w:color="auto" w:fill="FFFFFF"/>
            <w:vAlign w:val="center"/>
          </w:tcPr>
          <w:p w14:paraId="124F81A8">
            <w:pPr>
              <w:spacing w:line="560" w:lineRule="atLeast"/>
              <w:ind w:firstLine="480" w:firstLineChars="200"/>
              <w:jc w:val="center"/>
              <w:rPr>
                <w:rFonts w:hint="eastAsia" w:ascii="宋体" w:hAnsi="宋体" w:eastAsia="宋体" w:cs="方正仿宋_GB2312"/>
                <w:bCs/>
                <w:color w:val="000000"/>
                <w:sz w:val="24"/>
                <w:szCs w:val="24"/>
                <w14:ligatures w14:val="standardContextual"/>
              </w:rPr>
            </w:pPr>
            <w:r>
              <w:rPr>
                <w:rFonts w:hint="eastAsia" w:ascii="宋体" w:hAnsi="宋体" w:eastAsia="宋体" w:cs="方正仿宋_GB2312"/>
                <w:bCs/>
                <w:color w:val="000000"/>
                <w:sz w:val="24"/>
                <w:szCs w:val="24"/>
                <w14:ligatures w14:val="standardContextual"/>
              </w:rPr>
              <w:t>产品跑通、试点验证</w:t>
            </w:r>
          </w:p>
        </w:tc>
        <w:tc>
          <w:tcPr>
            <w:tcW w:w="2347" w:type="dxa"/>
            <w:tcBorders>
              <w:top w:val="nil"/>
              <w:left w:val="nil"/>
              <w:bottom w:val="nil"/>
              <w:right w:val="nil"/>
            </w:tcBorders>
            <w:shd w:val="clear" w:color="auto" w:fill="FFFFFF"/>
            <w:vAlign w:val="center"/>
          </w:tcPr>
          <w:p w14:paraId="0F2DCEBE">
            <w:pPr>
              <w:spacing w:line="560" w:lineRule="atLeast"/>
              <w:ind w:firstLine="480" w:firstLineChars="200"/>
              <w:jc w:val="center"/>
              <w:rPr>
                <w:rFonts w:hint="eastAsia" w:ascii="宋体" w:hAnsi="宋体" w:eastAsia="宋体" w:cs="方正仿宋_GB2312"/>
                <w:bCs/>
                <w:color w:val="000000"/>
                <w:sz w:val="24"/>
                <w:szCs w:val="24"/>
                <w14:ligatures w14:val="standardContextual"/>
              </w:rPr>
            </w:pPr>
            <w:r>
              <w:rPr>
                <w:rFonts w:hint="eastAsia" w:ascii="宋体" w:hAnsi="宋体" w:eastAsia="宋体" w:cs="方正仿宋_GB2312"/>
                <w:bCs/>
                <w:color w:val="000000"/>
                <w:sz w:val="24"/>
                <w:szCs w:val="24"/>
                <w14:ligatures w14:val="standardContextual"/>
              </w:rPr>
              <w:t>模式验证、B端签约</w:t>
            </w:r>
          </w:p>
        </w:tc>
        <w:tc>
          <w:tcPr>
            <w:tcW w:w="2506" w:type="dxa"/>
            <w:tcBorders>
              <w:top w:val="nil"/>
              <w:left w:val="nil"/>
              <w:bottom w:val="nil"/>
              <w:right w:val="nil"/>
            </w:tcBorders>
            <w:shd w:val="clear" w:color="auto" w:fill="FFFFFF"/>
            <w:vAlign w:val="center"/>
          </w:tcPr>
          <w:p w14:paraId="6B611827">
            <w:pPr>
              <w:spacing w:line="560" w:lineRule="atLeast"/>
              <w:ind w:firstLine="480" w:firstLineChars="200"/>
              <w:jc w:val="center"/>
              <w:rPr>
                <w:rFonts w:hint="eastAsia" w:ascii="宋体" w:hAnsi="宋体" w:eastAsia="宋体" w:cs="方正仿宋_GB2312"/>
                <w:bCs/>
                <w:color w:val="000000"/>
                <w:sz w:val="24"/>
                <w:szCs w:val="24"/>
                <w14:ligatures w14:val="standardContextual"/>
              </w:rPr>
            </w:pPr>
            <w:r>
              <w:rPr>
                <w:rFonts w:hint="eastAsia" w:ascii="宋体" w:hAnsi="宋体" w:eastAsia="宋体" w:cs="方正仿宋_GB2312"/>
                <w:bCs/>
                <w:color w:val="000000"/>
                <w:sz w:val="24"/>
                <w:szCs w:val="24"/>
                <w14:ligatures w14:val="standardContextual"/>
              </w:rPr>
              <w:t>规模化扩张、生态构建</w:t>
            </w:r>
          </w:p>
        </w:tc>
      </w:tr>
      <w:tr w14:paraId="3FE22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0" w:hRule="atLeast"/>
          <w:jc w:val="center"/>
        </w:trPr>
        <w:tc>
          <w:tcPr>
            <w:tcW w:w="1479" w:type="dxa"/>
            <w:tcBorders>
              <w:top w:val="nil"/>
              <w:left w:val="nil"/>
              <w:bottom w:val="single" w:color="000000" w:sz="12" w:space="0"/>
              <w:right w:val="nil"/>
            </w:tcBorders>
            <w:shd w:val="clear" w:color="auto" w:fill="FFFFFF"/>
            <w:vAlign w:val="center"/>
          </w:tcPr>
          <w:p w14:paraId="1ED58DDA">
            <w:pPr>
              <w:spacing w:line="560" w:lineRule="atLeast"/>
              <w:ind w:firstLine="480" w:firstLineChars="200"/>
              <w:jc w:val="center"/>
              <w:rPr>
                <w:rFonts w:hint="eastAsia" w:ascii="宋体" w:hAnsi="宋体" w:eastAsia="宋体" w:cs="方正仿宋_GB2312"/>
                <w:bCs/>
                <w:color w:val="000000"/>
                <w:sz w:val="24"/>
                <w:szCs w:val="24"/>
                <w14:ligatures w14:val="standardContextual"/>
              </w:rPr>
            </w:pPr>
            <w:r>
              <w:rPr>
                <w:rFonts w:hint="eastAsia" w:ascii="宋体" w:hAnsi="宋体" w:eastAsia="宋体" w:cs="方正仿宋_GB2312"/>
                <w:bCs/>
                <w:color w:val="000000"/>
                <w:sz w:val="24"/>
                <w:szCs w:val="24"/>
                <w14:ligatures w14:val="standardContextual"/>
              </w:rPr>
              <w:t>关键里程碑</w:t>
            </w:r>
          </w:p>
        </w:tc>
        <w:tc>
          <w:tcPr>
            <w:tcW w:w="2347" w:type="dxa"/>
            <w:tcBorders>
              <w:top w:val="nil"/>
              <w:left w:val="nil"/>
              <w:bottom w:val="single" w:color="000000" w:sz="12" w:space="0"/>
              <w:right w:val="nil"/>
            </w:tcBorders>
            <w:shd w:val="clear" w:color="auto" w:fill="FFFFFF"/>
            <w:vAlign w:val="center"/>
          </w:tcPr>
          <w:p w14:paraId="01AFB293">
            <w:pPr>
              <w:spacing w:line="560" w:lineRule="atLeast"/>
              <w:ind w:firstLine="480" w:firstLineChars="200"/>
              <w:jc w:val="center"/>
              <w:rPr>
                <w:rFonts w:hint="eastAsia" w:ascii="宋体" w:hAnsi="宋体" w:eastAsia="宋体" w:cs="方正仿宋_GB2312"/>
                <w:bCs/>
                <w:color w:val="000000"/>
                <w:sz w:val="24"/>
                <w:szCs w:val="24"/>
                <w14:ligatures w14:val="standardContextual"/>
              </w:rPr>
            </w:pPr>
            <w:r>
              <w:rPr>
                <w:rFonts w:hint="eastAsia" w:ascii="宋体" w:hAnsi="宋体" w:eastAsia="宋体" w:cs="方正仿宋_GB2312"/>
                <w:bCs/>
                <w:color w:val="000000"/>
                <w:sz w:val="24"/>
                <w:szCs w:val="24"/>
                <w14:ligatures w14:val="standardContextual"/>
              </w:rPr>
              <w:t>MVP上线+50名内测用户</w:t>
            </w:r>
          </w:p>
        </w:tc>
        <w:tc>
          <w:tcPr>
            <w:tcW w:w="2347" w:type="dxa"/>
            <w:tcBorders>
              <w:top w:val="nil"/>
              <w:left w:val="nil"/>
              <w:bottom w:val="single" w:color="000000" w:sz="12" w:space="0"/>
              <w:right w:val="nil"/>
            </w:tcBorders>
            <w:shd w:val="clear" w:color="auto" w:fill="FFFFFF"/>
            <w:vAlign w:val="center"/>
          </w:tcPr>
          <w:p w14:paraId="4C6264BA">
            <w:pPr>
              <w:spacing w:line="560" w:lineRule="atLeast"/>
              <w:ind w:firstLine="480" w:firstLineChars="200"/>
              <w:jc w:val="center"/>
              <w:rPr>
                <w:rFonts w:hint="eastAsia" w:ascii="宋体" w:hAnsi="宋体" w:eastAsia="宋体" w:cs="方正仿宋_GB2312"/>
                <w:bCs/>
                <w:color w:val="000000"/>
                <w:sz w:val="24"/>
                <w:szCs w:val="24"/>
                <w14:ligatures w14:val="standardContextual"/>
              </w:rPr>
            </w:pPr>
            <w:r>
              <w:rPr>
                <w:rFonts w:hint="eastAsia" w:ascii="宋体" w:hAnsi="宋体" w:eastAsia="宋体" w:cs="方正仿宋_GB2312"/>
                <w:bCs/>
                <w:color w:val="000000"/>
                <w:sz w:val="24"/>
                <w:szCs w:val="24"/>
                <w14:ligatures w14:val="standardContextual"/>
              </w:rPr>
              <w:t>1万用户+20所高校签约</w:t>
            </w:r>
          </w:p>
        </w:tc>
        <w:tc>
          <w:tcPr>
            <w:tcW w:w="2506" w:type="dxa"/>
            <w:tcBorders>
              <w:top w:val="nil"/>
              <w:left w:val="nil"/>
              <w:bottom w:val="single" w:color="000000" w:sz="12" w:space="0"/>
              <w:right w:val="nil"/>
            </w:tcBorders>
            <w:shd w:val="clear" w:color="auto" w:fill="FFFFFF"/>
            <w:vAlign w:val="center"/>
          </w:tcPr>
          <w:p w14:paraId="75BF1DAB">
            <w:pPr>
              <w:spacing w:line="560" w:lineRule="atLeast"/>
              <w:ind w:firstLine="480" w:firstLineChars="200"/>
              <w:jc w:val="center"/>
              <w:rPr>
                <w:rFonts w:hint="eastAsia" w:ascii="宋体" w:hAnsi="宋体" w:eastAsia="宋体" w:cs="方正仿宋_GB2312"/>
                <w:bCs/>
                <w:color w:val="000000"/>
                <w:sz w:val="24"/>
                <w:szCs w:val="24"/>
                <w14:ligatures w14:val="standardContextual"/>
              </w:rPr>
            </w:pPr>
            <w:r>
              <w:rPr>
                <w:rFonts w:hint="eastAsia" w:ascii="宋体" w:hAnsi="宋体" w:eastAsia="宋体" w:cs="方正仿宋_GB2312"/>
                <w:bCs/>
                <w:color w:val="000000"/>
                <w:sz w:val="24"/>
                <w:szCs w:val="24"/>
                <w14:ligatures w14:val="standardContextual"/>
              </w:rPr>
              <w:t>100万用户+500家机构</w:t>
            </w:r>
          </w:p>
        </w:tc>
      </w:tr>
    </w:tbl>
    <w:p w14:paraId="6135D409">
      <w:pPr>
        <w:spacing w:line="560" w:lineRule="atLeast"/>
        <w:ind w:firstLine="482" w:firstLineChars="200"/>
        <w:outlineLvl w:val="1"/>
        <w:rPr>
          <w:rFonts w:hint="eastAsia" w:ascii="宋体" w:hAnsi="宋体" w:eastAsia="宋体" w:cs="方正楷体_GB2312"/>
          <w:b/>
          <w:bCs/>
          <w:sz w:val="24"/>
          <w:szCs w:val="24"/>
        </w:rPr>
      </w:pPr>
      <w:bookmarkStart w:id="68" w:name="_Toc232355812"/>
      <w:r>
        <w:rPr>
          <w:rFonts w:hint="eastAsia" w:ascii="宋体" w:hAnsi="宋体" w:eastAsia="宋体" w:cs="方正楷体_GB2312"/>
          <w:b/>
          <w:bCs/>
          <w:sz w:val="24"/>
          <w:szCs w:val="24"/>
        </w:rPr>
        <w:t>6.1 各阶段详细任务</w:t>
      </w:r>
      <w:bookmarkEnd w:id="68"/>
    </w:p>
    <w:p w14:paraId="69143ED3">
      <w:pPr>
        <w:spacing w:line="560" w:lineRule="atLeast"/>
        <w:ind w:firstLine="482" w:firstLineChars="200"/>
        <w:outlineLvl w:val="2"/>
        <w:rPr>
          <w:rFonts w:hint="eastAsia" w:ascii="宋体" w:hAnsi="宋体" w:eastAsia="宋体" w:cs="方正仿宋_GB2312"/>
          <w:b/>
          <w:bCs/>
          <w:sz w:val="24"/>
          <w:szCs w:val="24"/>
        </w:rPr>
      </w:pPr>
      <w:bookmarkStart w:id="69" w:name="_Toc232355813"/>
      <w:r>
        <w:rPr>
          <w:rFonts w:hint="eastAsia" w:ascii="宋体" w:hAnsi="宋体" w:eastAsia="宋体" w:cs="方正仿宋_GB2312"/>
          <w:b/>
          <w:bCs/>
          <w:sz w:val="24"/>
          <w:szCs w:val="24"/>
        </w:rPr>
        <w:t>6.1.1 MVP验证期（2026.06-2026.12）</w:t>
      </w:r>
      <w:bookmarkEnd w:id="69"/>
    </w:p>
    <w:p w14:paraId="48BB1186">
      <w:pPr>
        <w:spacing w:line="560" w:lineRule="atLeast"/>
        <w:ind w:firstLine="480" w:firstLineChars="200"/>
        <w:rPr>
          <w:rFonts w:hint="eastAsia" w:ascii="宋体" w:hAnsi="宋体" w:eastAsia="宋体" w:cs="方正仿宋_GB2312"/>
          <w:sz w:val="24"/>
          <w:szCs w:val="24"/>
        </w:rPr>
      </w:pPr>
      <w:r>
        <w:rPr>
          <w:rFonts w:hint="eastAsia" w:ascii="宋体" w:hAnsi="宋体" w:eastAsia="宋体" w:cs="方正仿宋_GB2312"/>
          <w:sz w:val="24"/>
          <w:szCs w:val="24"/>
        </w:rPr>
        <w:t>·产品开发：Web后端搭建、APP MVP版、可穿戴原型机V1.0、管理后台基础版</w:t>
      </w:r>
    </w:p>
    <w:p w14:paraId="4B9C1899">
      <w:pPr>
        <w:spacing w:line="560" w:lineRule="atLeast"/>
        <w:ind w:firstLine="480" w:firstLineChars="200"/>
        <w:rPr>
          <w:rFonts w:hint="eastAsia" w:ascii="宋体" w:hAnsi="宋体" w:eastAsia="宋体" w:cs="方正仿宋_GB2312"/>
          <w:sz w:val="24"/>
          <w:szCs w:val="24"/>
        </w:rPr>
      </w:pPr>
      <w:r>
        <w:rPr>
          <w:rFonts w:hint="eastAsia" w:ascii="宋体" w:hAnsi="宋体" w:eastAsia="宋体" w:cs="方正仿宋_GB2312"/>
          <w:sz w:val="24"/>
          <w:szCs w:val="24"/>
        </w:rPr>
        <w:t>·算法迭代：YOLOv8微调（目标MAP≥90%）、Bi-LSTM+CNN训练、多模态融合调优</w:t>
      </w:r>
    </w:p>
    <w:p w14:paraId="3E687408">
      <w:pPr>
        <w:spacing w:line="560" w:lineRule="atLeast"/>
        <w:ind w:firstLine="480" w:firstLineChars="200"/>
        <w:rPr>
          <w:rFonts w:hint="eastAsia" w:ascii="宋体" w:hAnsi="宋体" w:eastAsia="宋体" w:cs="方正仿宋_GB2312"/>
          <w:sz w:val="24"/>
          <w:szCs w:val="24"/>
        </w:rPr>
      </w:pPr>
      <w:r>
        <w:rPr>
          <w:rFonts w:hint="eastAsia" w:ascii="宋体" w:hAnsi="宋体" w:eastAsia="宋体" w:cs="方正仿宋_GB2312"/>
          <w:sz w:val="24"/>
          <w:szCs w:val="24"/>
        </w:rPr>
        <w:t>·学术与资质：软著申请、专利申报、论文投稿、商标注册</w:t>
      </w:r>
    </w:p>
    <w:p w14:paraId="48383790">
      <w:pPr>
        <w:spacing w:line="560" w:lineRule="atLeast"/>
        <w:ind w:firstLine="480" w:firstLineChars="200"/>
        <w:rPr>
          <w:rFonts w:hint="eastAsia" w:ascii="宋体" w:hAnsi="宋体" w:eastAsia="宋体" w:cs="方正仿宋_GB2312"/>
          <w:sz w:val="24"/>
          <w:szCs w:val="24"/>
        </w:rPr>
      </w:pPr>
      <w:r>
        <w:rPr>
          <w:rFonts w:hint="eastAsia" w:ascii="宋体" w:hAnsi="宋体" w:eastAsia="宋体" w:cs="方正仿宋_GB2312"/>
          <w:sz w:val="24"/>
          <w:szCs w:val="24"/>
        </w:rPr>
        <w:t>·品牌启动：Logo设计、周边打样、新媒体矩阵搭建</w:t>
      </w:r>
    </w:p>
    <w:p w14:paraId="2FB8754B">
      <w:pPr>
        <w:spacing w:line="560" w:lineRule="atLeast"/>
        <w:ind w:firstLine="480" w:firstLineChars="200"/>
        <w:rPr>
          <w:rFonts w:hint="eastAsia" w:ascii="宋体" w:hAnsi="宋体" w:eastAsia="宋体" w:cs="方正仿宋_GB2312"/>
          <w:sz w:val="24"/>
          <w:szCs w:val="24"/>
        </w:rPr>
      </w:pPr>
      <w:r>
        <w:rPr>
          <w:rFonts w:hint="eastAsia" w:ascii="宋体" w:hAnsi="宋体" w:eastAsia="宋体" w:cs="方正仿宋_GB2312"/>
          <w:sz w:val="24"/>
          <w:szCs w:val="24"/>
        </w:rPr>
        <w:t>·种子用户：50人内测、高校心理中心合作、反馈收集迭代</w:t>
      </w:r>
    </w:p>
    <w:p w14:paraId="527879E3">
      <w:pPr>
        <w:spacing w:line="560" w:lineRule="atLeast"/>
        <w:ind w:firstLine="482" w:firstLineChars="200"/>
        <w:outlineLvl w:val="2"/>
        <w:rPr>
          <w:rFonts w:hint="eastAsia" w:ascii="宋体" w:hAnsi="宋体" w:eastAsia="宋体" w:cs="方正仿宋_GB2312"/>
          <w:b/>
          <w:bCs/>
          <w:sz w:val="24"/>
          <w:szCs w:val="24"/>
        </w:rPr>
      </w:pPr>
      <w:bookmarkStart w:id="70" w:name="_Toc232355814"/>
      <w:r>
        <w:rPr>
          <w:rFonts w:hint="eastAsia" w:ascii="宋体" w:hAnsi="宋体" w:eastAsia="宋体" w:cs="方正仿宋_GB2312"/>
          <w:b/>
          <w:bCs/>
          <w:sz w:val="24"/>
          <w:szCs w:val="24"/>
        </w:rPr>
        <w:t>6.1.2 市场推广期（2027.01-2027.12）</w:t>
      </w:r>
      <w:bookmarkEnd w:id="70"/>
    </w:p>
    <w:p w14:paraId="72E8E9C8">
      <w:pPr>
        <w:spacing w:line="560" w:lineRule="atLeast"/>
        <w:ind w:firstLine="480" w:firstLineChars="200"/>
        <w:rPr>
          <w:rFonts w:hint="eastAsia" w:ascii="宋体" w:hAnsi="宋体" w:eastAsia="宋体" w:cs="方正仿宋_GB2312"/>
          <w:sz w:val="24"/>
          <w:szCs w:val="24"/>
        </w:rPr>
      </w:pPr>
      <w:r>
        <w:rPr>
          <w:rFonts w:hint="eastAsia" w:ascii="宋体" w:hAnsi="宋体" w:eastAsia="宋体" w:cs="方正仿宋_GB2312"/>
          <w:sz w:val="24"/>
          <w:szCs w:val="24"/>
        </w:rPr>
        <w:t>·产品完善：APP全功能发布、可穿戴V2.0量产、Web全功能上线、医护端面板</w:t>
      </w:r>
    </w:p>
    <w:p w14:paraId="6C5D8235">
      <w:pPr>
        <w:spacing w:line="560" w:lineRule="atLeast"/>
        <w:ind w:firstLine="480" w:firstLineChars="200"/>
        <w:rPr>
          <w:rFonts w:hint="eastAsia" w:ascii="宋体" w:hAnsi="宋体" w:eastAsia="宋体" w:cs="方正仿宋_GB2312"/>
          <w:sz w:val="24"/>
          <w:szCs w:val="24"/>
        </w:rPr>
      </w:pPr>
      <w:r>
        <w:rPr>
          <w:rFonts w:hint="eastAsia" w:ascii="宋体" w:hAnsi="宋体" w:eastAsia="宋体" w:cs="方正仿宋_GB2312"/>
          <w:sz w:val="24"/>
          <w:szCs w:val="24"/>
        </w:rPr>
        <w:t>·商业拓展：20所高校、30家企业、10家临床机构、周边商城运营</w:t>
      </w:r>
    </w:p>
    <w:p w14:paraId="5A592277">
      <w:pPr>
        <w:spacing w:line="560" w:lineRule="atLeast"/>
        <w:ind w:firstLine="480" w:firstLineChars="200"/>
        <w:rPr>
          <w:rFonts w:hint="eastAsia" w:ascii="宋体" w:hAnsi="宋体" w:eastAsia="宋体" w:cs="方正仿宋_GB2312"/>
          <w:sz w:val="24"/>
          <w:szCs w:val="24"/>
        </w:rPr>
      </w:pPr>
      <w:r>
        <w:rPr>
          <w:rFonts w:hint="eastAsia" w:ascii="宋体" w:hAnsi="宋体" w:eastAsia="宋体" w:cs="方正仿宋_GB2312"/>
          <w:sz w:val="24"/>
          <w:szCs w:val="24"/>
        </w:rPr>
        <w:t>·市场推广：社交媒体运营、KOL合作、校园大使计划（100+高校）、行业展会</w:t>
      </w:r>
    </w:p>
    <w:p w14:paraId="288C08C6">
      <w:pPr>
        <w:spacing w:line="560" w:lineRule="atLeast"/>
        <w:ind w:firstLine="480" w:firstLineChars="200"/>
        <w:rPr>
          <w:rFonts w:hint="eastAsia" w:ascii="宋体" w:hAnsi="宋体" w:eastAsia="宋体" w:cs="方正仿宋_GB2312"/>
          <w:sz w:val="24"/>
          <w:szCs w:val="24"/>
        </w:rPr>
      </w:pPr>
      <w:r>
        <w:rPr>
          <w:rFonts w:hint="eastAsia" w:ascii="宋体" w:hAnsi="宋体" w:eastAsia="宋体" w:cs="方正仿宋_GB2312"/>
          <w:sz w:val="24"/>
          <w:szCs w:val="24"/>
        </w:rPr>
        <w:t>·团队建设：核心技术团队扩充至15-20人、运营团队搭建、专家顾问团</w:t>
      </w:r>
    </w:p>
    <w:p w14:paraId="1F3949BB">
      <w:pPr>
        <w:spacing w:line="560" w:lineRule="atLeast"/>
        <w:ind w:firstLine="482" w:firstLineChars="200"/>
        <w:outlineLvl w:val="2"/>
        <w:rPr>
          <w:rFonts w:hint="eastAsia" w:ascii="宋体" w:hAnsi="宋体" w:eastAsia="宋体" w:cs="方正仿宋_GB2312"/>
          <w:b/>
          <w:bCs/>
          <w:sz w:val="24"/>
          <w:szCs w:val="24"/>
        </w:rPr>
      </w:pPr>
      <w:bookmarkStart w:id="71" w:name="_Toc232355815"/>
      <w:r>
        <w:rPr>
          <w:rFonts w:hint="eastAsia" w:ascii="宋体" w:hAnsi="宋体" w:eastAsia="宋体" w:cs="方正仿宋_GB2312"/>
          <w:b/>
          <w:bCs/>
          <w:sz w:val="24"/>
          <w:szCs w:val="24"/>
        </w:rPr>
        <w:t>6.1.3 规模化增长期（2028.01-2029.12）</w:t>
      </w:r>
      <w:bookmarkEnd w:id="71"/>
    </w:p>
    <w:p w14:paraId="73CE4E71">
      <w:pPr>
        <w:spacing w:line="560" w:lineRule="atLeast"/>
        <w:ind w:firstLine="480" w:firstLineChars="200"/>
        <w:rPr>
          <w:rFonts w:hint="eastAsia" w:ascii="宋体" w:hAnsi="宋体" w:eastAsia="宋体" w:cs="方正仿宋_GB2312"/>
          <w:sz w:val="24"/>
          <w:szCs w:val="24"/>
        </w:rPr>
      </w:pPr>
      <w:r>
        <w:rPr>
          <w:rFonts w:hint="eastAsia" w:ascii="宋体" w:hAnsi="宋体" w:eastAsia="宋体" w:cs="方正仿宋_GB2312"/>
          <w:sz w:val="24"/>
          <w:szCs w:val="24"/>
        </w:rPr>
        <w:t>·规模化：100万用户、500家机构、可穿戴年销10万+、周边20+SKU</w:t>
      </w:r>
    </w:p>
    <w:p w14:paraId="4CA43824">
      <w:pPr>
        <w:spacing w:line="560" w:lineRule="atLeast"/>
        <w:ind w:firstLine="480" w:firstLineChars="200"/>
        <w:rPr>
          <w:rFonts w:hint="eastAsia" w:ascii="宋体" w:hAnsi="宋体" w:eastAsia="宋体" w:cs="方正仿宋_GB2312"/>
          <w:sz w:val="24"/>
          <w:szCs w:val="24"/>
        </w:rPr>
      </w:pPr>
      <w:r>
        <w:rPr>
          <w:rFonts w:hint="eastAsia" w:ascii="宋体" w:hAnsi="宋体" w:eastAsia="宋体" w:cs="方正仿宋_GB2312"/>
          <w:sz w:val="24"/>
          <w:szCs w:val="24"/>
        </w:rPr>
        <w:t>·技术升级：自研推理芯片、多模态大模型、联邦学习框架</w:t>
      </w:r>
    </w:p>
    <w:p w14:paraId="530A96EB">
      <w:pPr>
        <w:spacing w:line="560" w:lineRule="atLeast"/>
        <w:ind w:firstLine="480" w:firstLineChars="200"/>
        <w:rPr>
          <w:rFonts w:hint="eastAsia" w:ascii="宋体" w:hAnsi="宋体" w:eastAsia="宋体" w:cs="方正仿宋_GB2312"/>
          <w:sz w:val="24"/>
          <w:szCs w:val="24"/>
        </w:rPr>
      </w:pPr>
      <w:r>
        <w:rPr>
          <w:rFonts w:hint="eastAsia" w:ascii="宋体" w:hAnsi="宋体" w:eastAsia="宋体" w:cs="方正仿宋_GB2312"/>
          <w:sz w:val="24"/>
          <w:szCs w:val="24"/>
        </w:rPr>
        <w:t>·生态构建：开放平台API、开发者社区、行业标准参与</w:t>
      </w:r>
    </w:p>
    <w:p w14:paraId="584C870B">
      <w:pPr>
        <w:spacing w:line="560" w:lineRule="atLeast"/>
        <w:ind w:firstLine="480" w:firstLineChars="200"/>
        <w:rPr>
          <w:rFonts w:hint="eastAsia" w:ascii="宋体" w:hAnsi="宋体" w:eastAsia="宋体" w:cs="方正仿宋_GB2312"/>
          <w:sz w:val="24"/>
          <w:szCs w:val="24"/>
        </w:rPr>
      </w:pPr>
      <w:r>
        <w:rPr>
          <w:rFonts w:hint="eastAsia" w:ascii="宋体" w:hAnsi="宋体" w:eastAsia="宋体" w:cs="方正仿宋_GB2312"/>
          <w:sz w:val="24"/>
          <w:szCs w:val="24"/>
        </w:rPr>
        <w:t>·IPO筹备：财务规范化、上市辅导、科创板/创业板申报</w:t>
      </w:r>
    </w:p>
    <w:p w14:paraId="0AE58A64">
      <w:pPr>
        <w:spacing w:line="560" w:lineRule="atLeast"/>
        <w:ind w:firstLine="482" w:firstLineChars="200"/>
        <w:outlineLvl w:val="1"/>
        <w:rPr>
          <w:rFonts w:hint="eastAsia" w:ascii="宋体" w:hAnsi="宋体" w:eastAsia="宋体" w:cs="方正楷体_GB2312"/>
          <w:b/>
          <w:bCs/>
          <w:sz w:val="24"/>
          <w:szCs w:val="24"/>
        </w:rPr>
      </w:pPr>
      <w:bookmarkStart w:id="72" w:name="_Toc232355816"/>
      <w:r>
        <w:rPr>
          <w:rFonts w:hint="eastAsia" w:ascii="宋体" w:hAnsi="宋体" w:eastAsia="宋体" w:cs="方正楷体_GB2312"/>
          <w:b/>
          <w:bCs/>
          <w:sz w:val="24"/>
          <w:szCs w:val="24"/>
        </w:rPr>
        <w:t>6.2 进度甘特图数据</w:t>
      </w:r>
      <w:bookmarkEnd w:id="72"/>
    </w:p>
    <w:p w14:paraId="22FAC631">
      <w:pPr>
        <w:spacing w:line="560" w:lineRule="atLeast"/>
        <w:ind w:firstLine="482" w:firstLineChars="200"/>
        <w:jc w:val="center"/>
        <w:rPr>
          <w:rFonts w:hint="eastAsia" w:ascii="宋体" w:hAnsi="宋体" w:eastAsia="宋体" w:cs="方正楷体_GB2312"/>
          <w:b/>
          <w:bCs/>
          <w:sz w:val="24"/>
          <w:szCs w:val="24"/>
        </w:rPr>
      </w:pPr>
      <w:r>
        <w:rPr>
          <w:rFonts w:ascii="宋体" w:hAnsi="宋体" w:eastAsia="宋体" w:cs="方正楷体_GB2312"/>
          <w:b/>
          <w:bCs/>
          <w:sz w:val="24"/>
          <w:szCs w:val="24"/>
        </w:rPr>
        <w:drawing>
          <wp:inline distT="0" distB="0" distL="114300" distR="114300">
            <wp:extent cx="4006215" cy="3430905"/>
            <wp:effectExtent l="0" t="0" r="6985" b="10795"/>
            <wp:docPr id="6" name="图片 6" descr="5722ba61ce4e4701d4d19343893091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722ba61ce4e4701d4d193438930910b"/>
                    <pic:cNvPicPr>
                      <a:picLocks noChangeAspect="1"/>
                    </pic:cNvPicPr>
                  </pic:nvPicPr>
                  <pic:blipFill>
                    <a:blip r:embed="rId12"/>
                    <a:stretch>
                      <a:fillRect/>
                    </a:stretch>
                  </pic:blipFill>
                  <pic:spPr>
                    <a:xfrm>
                      <a:off x="0" y="0"/>
                      <a:ext cx="4006215" cy="3430905"/>
                    </a:xfrm>
                    <a:prstGeom prst="rect">
                      <a:avLst/>
                    </a:prstGeom>
                  </pic:spPr>
                </pic:pic>
              </a:graphicData>
            </a:graphic>
          </wp:inline>
        </w:drawing>
      </w:r>
    </w:p>
    <w:p w14:paraId="0992118F">
      <w:pPr>
        <w:spacing w:line="560" w:lineRule="atLeast"/>
        <w:ind w:firstLine="482" w:firstLineChars="200"/>
        <w:outlineLvl w:val="1"/>
        <w:rPr>
          <w:rFonts w:hint="eastAsia" w:ascii="宋体" w:hAnsi="宋体" w:eastAsia="宋体" w:cs="方正楷体_GB2312"/>
          <w:b/>
          <w:bCs/>
          <w:sz w:val="24"/>
          <w:szCs w:val="24"/>
        </w:rPr>
      </w:pPr>
      <w:bookmarkStart w:id="73" w:name="_Toc232355817"/>
      <w:r>
        <w:rPr>
          <w:rFonts w:hint="eastAsia" w:ascii="宋体" w:hAnsi="宋体" w:eastAsia="宋体" w:cs="方正楷体_GB2312"/>
          <w:b/>
          <w:bCs/>
          <w:sz w:val="24"/>
          <w:szCs w:val="24"/>
        </w:rPr>
        <w:t>6.3 2026年下半年详细开发计划</w:t>
      </w:r>
      <w:bookmarkEnd w:id="73"/>
    </w:p>
    <w:tbl>
      <w:tblPr>
        <w:tblStyle w:val="25"/>
        <w:tblW w:w="5000" w:type="pct"/>
        <w:tblInd w:w="0" w:type="dxa"/>
        <w:tblLayout w:type="autofit"/>
        <w:tblCellMar>
          <w:top w:w="15" w:type="dxa"/>
          <w:left w:w="15" w:type="dxa"/>
          <w:bottom w:w="15" w:type="dxa"/>
          <w:right w:w="15" w:type="dxa"/>
        </w:tblCellMar>
      </w:tblPr>
      <w:tblGrid>
        <w:gridCol w:w="821"/>
        <w:gridCol w:w="1286"/>
        <w:gridCol w:w="3995"/>
        <w:gridCol w:w="2364"/>
      </w:tblGrid>
      <w:tr w14:paraId="033E8D6D">
        <w:tblPrEx>
          <w:tblCellMar>
            <w:top w:w="15" w:type="dxa"/>
            <w:left w:w="15" w:type="dxa"/>
            <w:bottom w:w="15" w:type="dxa"/>
            <w:right w:w="15" w:type="dxa"/>
          </w:tblCellMar>
        </w:tblPrEx>
        <w:trPr>
          <w:trHeight w:val="665" w:hRule="atLeast"/>
          <w:tblHeader/>
        </w:trPr>
        <w:tc>
          <w:tcPr>
            <w:tcW w:w="413" w:type="pct"/>
            <w:tcBorders>
              <w:top w:val="single" w:color="000000" w:sz="12" w:space="0"/>
              <w:left w:val="nil"/>
              <w:bottom w:val="single" w:color="000000" w:sz="4" w:space="0"/>
              <w:right w:val="nil"/>
              <w:tl2br w:val="nil"/>
            </w:tcBorders>
            <w:shd w:val="clear" w:color="auto" w:fill="FFFFFF"/>
            <w:tcMar>
              <w:top w:w="80" w:type="dxa"/>
              <w:left w:w="80" w:type="dxa"/>
              <w:bottom w:w="80" w:type="dxa"/>
              <w:right w:w="80" w:type="dxa"/>
            </w:tcMar>
            <w:vAlign w:val="center"/>
          </w:tcPr>
          <w:p w14:paraId="43B84090">
            <w:pPr>
              <w:widowControl/>
              <w:ind w:firstLine="482" w:firstLineChars="200"/>
              <w:jc w:val="center"/>
              <w:rPr>
                <w:rFonts w:hint="eastAsia" w:ascii="宋体" w:hAnsi="宋体" w:eastAsia="宋体" w:cs="方正仿宋_GB2312"/>
                <w:b/>
                <w:color w:val="000000"/>
                <w:sz w:val="24"/>
                <w:szCs w:val="24"/>
              </w:rPr>
            </w:pPr>
            <w:r>
              <w:rPr>
                <w:rFonts w:hint="eastAsia" w:ascii="宋体" w:hAnsi="宋体" w:eastAsia="宋体" w:cs="方正仿宋_GB2312"/>
                <w:b/>
                <w:color w:val="000000"/>
                <w:kern w:val="0"/>
                <w:sz w:val="24"/>
                <w:szCs w:val="24"/>
                <w:lang w:bidi="ar"/>
              </w:rPr>
              <w:t>月份</w:t>
            </w:r>
          </w:p>
        </w:tc>
        <w:tc>
          <w:tcPr>
            <w:tcW w:w="784" w:type="pct"/>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0E91B533">
            <w:pPr>
              <w:widowControl/>
              <w:ind w:firstLine="482" w:firstLineChars="200"/>
              <w:jc w:val="center"/>
              <w:rPr>
                <w:rFonts w:hint="eastAsia" w:ascii="宋体" w:hAnsi="宋体" w:eastAsia="宋体" w:cs="方正仿宋_GB2312"/>
                <w:b/>
                <w:color w:val="000000"/>
                <w:sz w:val="24"/>
                <w:szCs w:val="24"/>
              </w:rPr>
            </w:pPr>
            <w:r>
              <w:rPr>
                <w:rFonts w:hint="eastAsia" w:ascii="宋体" w:hAnsi="宋体" w:eastAsia="宋体" w:cs="方正仿宋_GB2312"/>
                <w:b/>
                <w:color w:val="000000"/>
                <w:kern w:val="0"/>
                <w:sz w:val="24"/>
                <w:szCs w:val="24"/>
                <w:lang w:bidi="ar"/>
              </w:rPr>
              <w:t>里程碑</w:t>
            </w:r>
          </w:p>
        </w:tc>
        <w:tc>
          <w:tcPr>
            <w:tcW w:w="2383" w:type="pct"/>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06E113B0">
            <w:pPr>
              <w:widowControl/>
              <w:ind w:firstLine="482" w:firstLineChars="200"/>
              <w:jc w:val="center"/>
              <w:rPr>
                <w:rFonts w:hint="eastAsia" w:ascii="宋体" w:hAnsi="宋体" w:eastAsia="宋体" w:cs="方正仿宋_GB2312"/>
                <w:b/>
                <w:color w:val="000000"/>
                <w:sz w:val="24"/>
                <w:szCs w:val="24"/>
              </w:rPr>
            </w:pPr>
            <w:r>
              <w:rPr>
                <w:rFonts w:hint="eastAsia" w:ascii="宋体" w:hAnsi="宋体" w:eastAsia="宋体" w:cs="方正仿宋_GB2312"/>
                <w:b/>
                <w:color w:val="000000"/>
                <w:kern w:val="0"/>
                <w:sz w:val="24"/>
                <w:szCs w:val="24"/>
                <w:lang w:bidi="ar"/>
              </w:rPr>
              <w:t>关键任务</w:t>
            </w:r>
          </w:p>
        </w:tc>
        <w:tc>
          <w:tcPr>
            <w:tcW w:w="0" w:type="auto"/>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03BCF639">
            <w:pPr>
              <w:widowControl/>
              <w:ind w:firstLine="482" w:firstLineChars="200"/>
              <w:jc w:val="center"/>
              <w:rPr>
                <w:rFonts w:hint="eastAsia" w:ascii="宋体" w:hAnsi="宋体" w:eastAsia="宋体" w:cs="方正仿宋_GB2312"/>
                <w:b/>
                <w:color w:val="000000"/>
                <w:sz w:val="24"/>
                <w:szCs w:val="24"/>
              </w:rPr>
            </w:pPr>
            <w:r>
              <w:rPr>
                <w:rFonts w:hint="eastAsia" w:ascii="宋体" w:hAnsi="宋体" w:eastAsia="宋体" w:cs="方正仿宋_GB2312"/>
                <w:b/>
                <w:color w:val="000000"/>
                <w:kern w:val="0"/>
                <w:sz w:val="24"/>
                <w:szCs w:val="24"/>
                <w:lang w:bidi="ar"/>
              </w:rPr>
              <w:t>交付物</w:t>
            </w:r>
          </w:p>
        </w:tc>
      </w:tr>
      <w:tr w14:paraId="77B69061">
        <w:tblPrEx>
          <w:tblCellMar>
            <w:top w:w="15" w:type="dxa"/>
            <w:left w:w="15" w:type="dxa"/>
            <w:bottom w:w="15" w:type="dxa"/>
            <w:right w:w="15" w:type="dxa"/>
          </w:tblCellMar>
        </w:tblPrEx>
        <w:trPr>
          <w:trHeight w:val="665" w:hRule="atLeast"/>
        </w:trPr>
        <w:tc>
          <w:tcPr>
            <w:tcW w:w="413" w:type="pct"/>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11C4423A">
            <w:pPr>
              <w:widowControl/>
              <w:ind w:firstLine="480" w:firstLineChars="200"/>
              <w:jc w:val="center"/>
              <w:rPr>
                <w:rFonts w:hint="eastAsia" w:ascii="宋体" w:hAnsi="宋体" w:eastAsia="宋体" w:cs="方正仿宋_GB2312"/>
                <w:color w:val="000000"/>
                <w:sz w:val="24"/>
                <w:szCs w:val="24"/>
              </w:rPr>
            </w:pPr>
            <w:r>
              <w:rPr>
                <w:rFonts w:hint="eastAsia" w:ascii="宋体" w:hAnsi="宋体" w:eastAsia="宋体" w:cs="方正仿宋_GB2312"/>
                <w:color w:val="000000"/>
                <w:kern w:val="0"/>
                <w:sz w:val="24"/>
                <w:szCs w:val="24"/>
                <w:lang w:bidi="ar"/>
              </w:rPr>
              <w:t>6月</w:t>
            </w:r>
          </w:p>
        </w:tc>
        <w:tc>
          <w:tcPr>
            <w:tcW w:w="784" w:type="pct"/>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312D6452">
            <w:pPr>
              <w:widowControl/>
              <w:ind w:firstLine="480" w:firstLineChars="200"/>
              <w:jc w:val="center"/>
              <w:rPr>
                <w:rFonts w:hint="eastAsia" w:ascii="宋体" w:hAnsi="宋体" w:eastAsia="宋体" w:cs="方正仿宋_GB2312"/>
                <w:color w:val="000000"/>
                <w:sz w:val="24"/>
                <w:szCs w:val="24"/>
              </w:rPr>
            </w:pPr>
            <w:r>
              <w:rPr>
                <w:rFonts w:hint="eastAsia" w:ascii="宋体" w:hAnsi="宋体" w:eastAsia="宋体" w:cs="方正仿宋_GB2312"/>
                <w:color w:val="000000"/>
                <w:kern w:val="0"/>
                <w:sz w:val="24"/>
                <w:szCs w:val="24"/>
                <w:lang w:bidi="ar"/>
              </w:rPr>
              <w:t>项目启动</w:t>
            </w:r>
          </w:p>
        </w:tc>
        <w:tc>
          <w:tcPr>
            <w:tcW w:w="2383" w:type="pct"/>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356E5F94">
            <w:pPr>
              <w:widowControl/>
              <w:ind w:firstLine="480" w:firstLineChars="200"/>
              <w:jc w:val="center"/>
              <w:rPr>
                <w:rFonts w:hint="eastAsia" w:ascii="宋体" w:hAnsi="宋体" w:eastAsia="宋体" w:cs="方正仿宋_GB2312"/>
                <w:color w:val="000000"/>
                <w:sz w:val="24"/>
                <w:szCs w:val="24"/>
              </w:rPr>
            </w:pPr>
            <w:r>
              <w:rPr>
                <w:rFonts w:hint="eastAsia" w:ascii="宋体" w:hAnsi="宋体" w:eastAsia="宋体" w:cs="方正仿宋_GB2312"/>
                <w:color w:val="000000"/>
                <w:kern w:val="0"/>
                <w:sz w:val="24"/>
                <w:szCs w:val="24"/>
                <w:lang w:bidi="ar"/>
              </w:rPr>
              <w:t>需求评审、技术选型、架构设计</w:t>
            </w:r>
          </w:p>
        </w:tc>
        <w:tc>
          <w:tcPr>
            <w:tcW w:w="0" w:type="auto"/>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665576AC">
            <w:pPr>
              <w:widowControl/>
              <w:ind w:firstLine="480" w:firstLineChars="200"/>
              <w:jc w:val="center"/>
              <w:rPr>
                <w:rFonts w:hint="eastAsia" w:ascii="宋体" w:hAnsi="宋体" w:eastAsia="宋体" w:cs="方正仿宋_GB2312"/>
                <w:color w:val="000000"/>
                <w:sz w:val="24"/>
                <w:szCs w:val="24"/>
              </w:rPr>
            </w:pPr>
            <w:r>
              <w:rPr>
                <w:rFonts w:hint="eastAsia" w:ascii="宋体" w:hAnsi="宋体" w:eastAsia="宋体" w:cs="方正仿宋_GB2312"/>
                <w:color w:val="000000"/>
                <w:kern w:val="0"/>
                <w:sz w:val="24"/>
                <w:szCs w:val="24"/>
                <w:lang w:bidi="ar"/>
              </w:rPr>
              <w:t>技术方案文档</w:t>
            </w:r>
          </w:p>
        </w:tc>
      </w:tr>
      <w:tr w14:paraId="510F2880">
        <w:tblPrEx>
          <w:tblCellMar>
            <w:top w:w="15" w:type="dxa"/>
            <w:left w:w="15" w:type="dxa"/>
            <w:bottom w:w="15" w:type="dxa"/>
            <w:right w:w="15" w:type="dxa"/>
          </w:tblCellMar>
        </w:tblPrEx>
        <w:trPr>
          <w:trHeight w:val="665" w:hRule="atLeast"/>
        </w:trPr>
        <w:tc>
          <w:tcPr>
            <w:tcW w:w="413" w:type="pct"/>
            <w:tcBorders>
              <w:top w:val="nil"/>
              <w:left w:val="nil"/>
              <w:bottom w:val="nil"/>
              <w:right w:val="nil"/>
            </w:tcBorders>
            <w:shd w:val="clear" w:color="auto" w:fill="FFFFFF"/>
            <w:tcMar>
              <w:top w:w="80" w:type="dxa"/>
              <w:left w:w="80" w:type="dxa"/>
              <w:bottom w:w="80" w:type="dxa"/>
              <w:right w:w="80" w:type="dxa"/>
            </w:tcMar>
            <w:vAlign w:val="center"/>
          </w:tcPr>
          <w:p w14:paraId="31CDC8A8">
            <w:pPr>
              <w:widowControl/>
              <w:ind w:firstLine="480" w:firstLineChars="200"/>
              <w:jc w:val="center"/>
              <w:rPr>
                <w:rFonts w:hint="eastAsia" w:ascii="宋体" w:hAnsi="宋体" w:eastAsia="宋体" w:cs="方正仿宋_GB2312"/>
                <w:color w:val="000000"/>
                <w:sz w:val="24"/>
                <w:szCs w:val="24"/>
              </w:rPr>
            </w:pPr>
            <w:r>
              <w:rPr>
                <w:rFonts w:hint="eastAsia" w:ascii="宋体" w:hAnsi="宋体" w:eastAsia="宋体" w:cs="方正仿宋_GB2312"/>
                <w:color w:val="000000"/>
                <w:kern w:val="0"/>
                <w:sz w:val="24"/>
                <w:szCs w:val="24"/>
                <w:lang w:bidi="ar"/>
              </w:rPr>
              <w:t>7月</w:t>
            </w:r>
          </w:p>
        </w:tc>
        <w:tc>
          <w:tcPr>
            <w:tcW w:w="784" w:type="pct"/>
            <w:tcBorders>
              <w:top w:val="nil"/>
              <w:left w:val="nil"/>
              <w:bottom w:val="nil"/>
              <w:right w:val="nil"/>
            </w:tcBorders>
            <w:shd w:val="clear" w:color="auto" w:fill="FFFFFF"/>
            <w:tcMar>
              <w:top w:w="80" w:type="dxa"/>
              <w:left w:w="80" w:type="dxa"/>
              <w:bottom w:w="80" w:type="dxa"/>
              <w:right w:w="80" w:type="dxa"/>
            </w:tcMar>
            <w:vAlign w:val="center"/>
          </w:tcPr>
          <w:p w14:paraId="3E97B2C4">
            <w:pPr>
              <w:widowControl/>
              <w:ind w:firstLine="480" w:firstLineChars="200"/>
              <w:jc w:val="center"/>
              <w:rPr>
                <w:rFonts w:hint="eastAsia" w:ascii="宋体" w:hAnsi="宋体" w:eastAsia="宋体" w:cs="方正仿宋_GB2312"/>
                <w:color w:val="000000"/>
                <w:sz w:val="24"/>
                <w:szCs w:val="24"/>
              </w:rPr>
            </w:pPr>
            <w:r>
              <w:rPr>
                <w:rFonts w:hint="eastAsia" w:ascii="宋体" w:hAnsi="宋体" w:eastAsia="宋体" w:cs="方正仿宋_GB2312"/>
                <w:color w:val="000000"/>
                <w:kern w:val="0"/>
                <w:sz w:val="24"/>
                <w:szCs w:val="24"/>
                <w:lang w:bidi="ar"/>
              </w:rPr>
              <w:t>基础搭建</w:t>
            </w:r>
          </w:p>
        </w:tc>
        <w:tc>
          <w:tcPr>
            <w:tcW w:w="2383" w:type="pct"/>
            <w:tcBorders>
              <w:top w:val="nil"/>
              <w:left w:val="nil"/>
              <w:bottom w:val="nil"/>
              <w:right w:val="nil"/>
            </w:tcBorders>
            <w:shd w:val="clear" w:color="auto" w:fill="FFFFFF"/>
            <w:tcMar>
              <w:top w:w="80" w:type="dxa"/>
              <w:left w:w="80" w:type="dxa"/>
              <w:bottom w:w="80" w:type="dxa"/>
              <w:right w:w="80" w:type="dxa"/>
            </w:tcMar>
            <w:vAlign w:val="center"/>
          </w:tcPr>
          <w:p w14:paraId="5CB1EBF5">
            <w:pPr>
              <w:widowControl/>
              <w:ind w:firstLine="480" w:firstLineChars="200"/>
              <w:jc w:val="center"/>
              <w:rPr>
                <w:rFonts w:hint="eastAsia" w:ascii="宋体" w:hAnsi="宋体" w:eastAsia="宋体" w:cs="方正仿宋_GB2312"/>
                <w:color w:val="000000"/>
                <w:sz w:val="24"/>
                <w:szCs w:val="24"/>
              </w:rPr>
            </w:pPr>
            <w:r>
              <w:rPr>
                <w:rFonts w:hint="eastAsia" w:ascii="宋体" w:hAnsi="宋体" w:eastAsia="宋体" w:cs="方正仿宋_GB2312"/>
                <w:color w:val="000000"/>
                <w:kern w:val="0"/>
                <w:sz w:val="24"/>
                <w:szCs w:val="24"/>
                <w:lang w:bidi="ar"/>
              </w:rPr>
              <w:t>Web 后端框架+YOLO模型嵌入+数据库设计</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30B5FF48">
            <w:pPr>
              <w:widowControl/>
              <w:ind w:firstLine="480" w:firstLineChars="200"/>
              <w:jc w:val="center"/>
              <w:rPr>
                <w:rFonts w:hint="eastAsia" w:ascii="宋体" w:hAnsi="宋体" w:eastAsia="宋体" w:cs="方正仿宋_GB2312"/>
                <w:color w:val="000000"/>
                <w:sz w:val="24"/>
                <w:szCs w:val="24"/>
              </w:rPr>
            </w:pPr>
            <w:r>
              <w:rPr>
                <w:rFonts w:hint="eastAsia" w:ascii="宋体" w:hAnsi="宋体" w:eastAsia="宋体" w:cs="方正仿宋_GB2312"/>
                <w:color w:val="000000"/>
                <w:kern w:val="0"/>
                <w:sz w:val="24"/>
                <w:szCs w:val="24"/>
                <w:lang w:bidi="ar"/>
              </w:rPr>
              <w:t>API V1.0+模型推理接口</w:t>
            </w:r>
          </w:p>
        </w:tc>
      </w:tr>
      <w:tr w14:paraId="06619429">
        <w:tblPrEx>
          <w:tblCellMar>
            <w:top w:w="15" w:type="dxa"/>
            <w:left w:w="15" w:type="dxa"/>
            <w:bottom w:w="15" w:type="dxa"/>
            <w:right w:w="15" w:type="dxa"/>
          </w:tblCellMar>
        </w:tblPrEx>
        <w:trPr>
          <w:trHeight w:val="665" w:hRule="atLeast"/>
        </w:trPr>
        <w:tc>
          <w:tcPr>
            <w:tcW w:w="413" w:type="pct"/>
            <w:tcBorders>
              <w:top w:val="nil"/>
              <w:left w:val="nil"/>
              <w:bottom w:val="nil"/>
              <w:right w:val="nil"/>
            </w:tcBorders>
            <w:shd w:val="clear" w:color="auto" w:fill="FFFFFF"/>
            <w:tcMar>
              <w:top w:w="80" w:type="dxa"/>
              <w:left w:w="80" w:type="dxa"/>
              <w:bottom w:w="80" w:type="dxa"/>
              <w:right w:w="80" w:type="dxa"/>
            </w:tcMar>
            <w:vAlign w:val="center"/>
          </w:tcPr>
          <w:p w14:paraId="4D918AF2">
            <w:pPr>
              <w:widowControl/>
              <w:ind w:firstLine="480" w:firstLineChars="200"/>
              <w:jc w:val="center"/>
              <w:rPr>
                <w:rFonts w:hint="eastAsia" w:ascii="宋体" w:hAnsi="宋体" w:eastAsia="宋体" w:cs="方正仿宋_GB2312"/>
                <w:color w:val="000000"/>
                <w:sz w:val="24"/>
                <w:szCs w:val="24"/>
              </w:rPr>
            </w:pPr>
            <w:r>
              <w:rPr>
                <w:rFonts w:hint="eastAsia" w:ascii="宋体" w:hAnsi="宋体" w:eastAsia="宋体" w:cs="方正仿宋_GB2312"/>
                <w:color w:val="000000"/>
                <w:kern w:val="0"/>
                <w:sz w:val="24"/>
                <w:szCs w:val="24"/>
                <w:lang w:bidi="ar"/>
              </w:rPr>
              <w:t>8月</w:t>
            </w:r>
          </w:p>
        </w:tc>
        <w:tc>
          <w:tcPr>
            <w:tcW w:w="784" w:type="pct"/>
            <w:tcBorders>
              <w:top w:val="nil"/>
              <w:left w:val="nil"/>
              <w:bottom w:val="nil"/>
              <w:right w:val="nil"/>
            </w:tcBorders>
            <w:shd w:val="clear" w:color="auto" w:fill="FFFFFF"/>
            <w:tcMar>
              <w:top w:w="80" w:type="dxa"/>
              <w:left w:w="80" w:type="dxa"/>
              <w:bottom w:w="80" w:type="dxa"/>
              <w:right w:w="80" w:type="dxa"/>
            </w:tcMar>
            <w:vAlign w:val="center"/>
          </w:tcPr>
          <w:p w14:paraId="638C3496">
            <w:pPr>
              <w:widowControl/>
              <w:ind w:firstLine="480" w:firstLineChars="200"/>
              <w:jc w:val="center"/>
              <w:rPr>
                <w:rFonts w:hint="eastAsia" w:ascii="宋体" w:hAnsi="宋体" w:eastAsia="宋体" w:cs="方正仿宋_GB2312"/>
                <w:color w:val="000000"/>
                <w:sz w:val="24"/>
                <w:szCs w:val="24"/>
              </w:rPr>
            </w:pPr>
            <w:r>
              <w:rPr>
                <w:rFonts w:hint="eastAsia" w:ascii="宋体" w:hAnsi="宋体" w:eastAsia="宋体" w:cs="方正仿宋_GB2312"/>
                <w:color w:val="000000"/>
                <w:kern w:val="0"/>
                <w:sz w:val="24"/>
                <w:szCs w:val="24"/>
                <w:lang w:bidi="ar"/>
              </w:rPr>
              <w:t>核心开发</w:t>
            </w:r>
          </w:p>
        </w:tc>
        <w:tc>
          <w:tcPr>
            <w:tcW w:w="2383" w:type="pct"/>
            <w:tcBorders>
              <w:top w:val="nil"/>
              <w:left w:val="nil"/>
              <w:bottom w:val="nil"/>
              <w:right w:val="nil"/>
            </w:tcBorders>
            <w:shd w:val="clear" w:color="auto" w:fill="FFFFFF"/>
            <w:tcMar>
              <w:top w:w="80" w:type="dxa"/>
              <w:left w:w="80" w:type="dxa"/>
              <w:bottom w:w="80" w:type="dxa"/>
              <w:right w:w="80" w:type="dxa"/>
            </w:tcMar>
            <w:vAlign w:val="center"/>
          </w:tcPr>
          <w:p w14:paraId="14CA540F">
            <w:pPr>
              <w:widowControl/>
              <w:ind w:firstLine="480" w:firstLineChars="200"/>
              <w:jc w:val="center"/>
              <w:rPr>
                <w:rFonts w:hint="eastAsia" w:ascii="宋体" w:hAnsi="宋体" w:eastAsia="宋体" w:cs="方正仿宋_GB2312"/>
                <w:color w:val="000000"/>
                <w:sz w:val="24"/>
                <w:szCs w:val="24"/>
              </w:rPr>
            </w:pPr>
            <w:r>
              <w:rPr>
                <w:rFonts w:hint="eastAsia" w:ascii="宋体" w:hAnsi="宋体" w:eastAsia="宋体" w:cs="方正仿宋_GB2312"/>
                <w:color w:val="000000"/>
                <w:kern w:val="0"/>
                <w:sz w:val="24"/>
                <w:szCs w:val="24"/>
                <w:lang w:bidi="ar"/>
              </w:rPr>
              <w:t>APP原型+检测功能开发+前端页面</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310776B4">
            <w:pPr>
              <w:widowControl/>
              <w:ind w:firstLine="480" w:firstLineChars="200"/>
              <w:jc w:val="center"/>
              <w:rPr>
                <w:rFonts w:hint="eastAsia" w:ascii="宋体" w:hAnsi="宋体" w:eastAsia="宋体" w:cs="方正仿宋_GB2312"/>
                <w:color w:val="000000"/>
                <w:sz w:val="24"/>
                <w:szCs w:val="24"/>
              </w:rPr>
            </w:pPr>
            <w:r>
              <w:rPr>
                <w:rFonts w:hint="eastAsia" w:ascii="宋体" w:hAnsi="宋体" w:eastAsia="宋体" w:cs="方正仿宋_GB2312"/>
                <w:color w:val="000000"/>
                <w:kern w:val="0"/>
                <w:sz w:val="24"/>
                <w:szCs w:val="24"/>
                <w:lang w:bidi="ar"/>
              </w:rPr>
              <w:t>可演示Demo</w:t>
            </w:r>
          </w:p>
        </w:tc>
      </w:tr>
      <w:tr w14:paraId="3A10F4ED">
        <w:tblPrEx>
          <w:tblCellMar>
            <w:top w:w="15" w:type="dxa"/>
            <w:left w:w="15" w:type="dxa"/>
            <w:bottom w:w="15" w:type="dxa"/>
            <w:right w:w="15" w:type="dxa"/>
          </w:tblCellMar>
        </w:tblPrEx>
        <w:trPr>
          <w:trHeight w:val="665" w:hRule="atLeast"/>
        </w:trPr>
        <w:tc>
          <w:tcPr>
            <w:tcW w:w="413" w:type="pct"/>
            <w:tcBorders>
              <w:top w:val="nil"/>
              <w:left w:val="nil"/>
              <w:bottom w:val="nil"/>
              <w:right w:val="nil"/>
            </w:tcBorders>
            <w:shd w:val="clear" w:color="auto" w:fill="FFFFFF"/>
            <w:tcMar>
              <w:top w:w="80" w:type="dxa"/>
              <w:left w:w="80" w:type="dxa"/>
              <w:bottom w:w="80" w:type="dxa"/>
              <w:right w:w="80" w:type="dxa"/>
            </w:tcMar>
            <w:vAlign w:val="center"/>
          </w:tcPr>
          <w:p w14:paraId="687DA848">
            <w:pPr>
              <w:widowControl/>
              <w:ind w:firstLine="480" w:firstLineChars="200"/>
              <w:jc w:val="center"/>
              <w:rPr>
                <w:rFonts w:hint="eastAsia" w:ascii="宋体" w:hAnsi="宋体" w:eastAsia="宋体" w:cs="方正仿宋_GB2312"/>
                <w:color w:val="000000"/>
                <w:sz w:val="24"/>
                <w:szCs w:val="24"/>
              </w:rPr>
            </w:pPr>
            <w:r>
              <w:rPr>
                <w:rFonts w:hint="eastAsia" w:ascii="宋体" w:hAnsi="宋体" w:eastAsia="宋体" w:cs="方正仿宋_GB2312"/>
                <w:color w:val="000000"/>
                <w:kern w:val="0"/>
                <w:sz w:val="24"/>
                <w:szCs w:val="24"/>
                <w:lang w:bidi="ar"/>
              </w:rPr>
              <w:t>9月</w:t>
            </w:r>
          </w:p>
        </w:tc>
        <w:tc>
          <w:tcPr>
            <w:tcW w:w="784" w:type="pct"/>
            <w:tcBorders>
              <w:top w:val="nil"/>
              <w:left w:val="nil"/>
              <w:bottom w:val="nil"/>
              <w:right w:val="nil"/>
            </w:tcBorders>
            <w:shd w:val="clear" w:color="auto" w:fill="FFFFFF"/>
            <w:tcMar>
              <w:top w:w="80" w:type="dxa"/>
              <w:left w:w="80" w:type="dxa"/>
              <w:bottom w:w="80" w:type="dxa"/>
              <w:right w:w="80" w:type="dxa"/>
            </w:tcMar>
            <w:vAlign w:val="center"/>
          </w:tcPr>
          <w:p w14:paraId="37ADC59F">
            <w:pPr>
              <w:widowControl/>
              <w:ind w:firstLine="480" w:firstLineChars="200"/>
              <w:jc w:val="center"/>
              <w:rPr>
                <w:rFonts w:hint="eastAsia" w:ascii="宋体" w:hAnsi="宋体" w:eastAsia="宋体" w:cs="方正仿宋_GB2312"/>
                <w:color w:val="000000"/>
                <w:sz w:val="24"/>
                <w:szCs w:val="24"/>
              </w:rPr>
            </w:pPr>
            <w:r>
              <w:rPr>
                <w:rFonts w:hint="eastAsia" w:ascii="宋体" w:hAnsi="宋体" w:eastAsia="宋体" w:cs="方正仿宋_GB2312"/>
                <w:color w:val="000000"/>
                <w:kern w:val="0"/>
                <w:sz w:val="24"/>
                <w:szCs w:val="24"/>
                <w:lang w:bidi="ar"/>
              </w:rPr>
              <w:t>算法优化</w:t>
            </w:r>
          </w:p>
        </w:tc>
        <w:tc>
          <w:tcPr>
            <w:tcW w:w="2383" w:type="pct"/>
            <w:tcBorders>
              <w:top w:val="nil"/>
              <w:left w:val="nil"/>
              <w:bottom w:val="nil"/>
              <w:right w:val="nil"/>
            </w:tcBorders>
            <w:shd w:val="clear" w:color="auto" w:fill="FFFFFF"/>
            <w:tcMar>
              <w:top w:w="80" w:type="dxa"/>
              <w:left w:w="80" w:type="dxa"/>
              <w:bottom w:w="80" w:type="dxa"/>
              <w:right w:w="80" w:type="dxa"/>
            </w:tcMar>
            <w:vAlign w:val="center"/>
          </w:tcPr>
          <w:p w14:paraId="20833B15">
            <w:pPr>
              <w:widowControl/>
              <w:ind w:firstLine="480" w:firstLineChars="200"/>
              <w:jc w:val="center"/>
              <w:rPr>
                <w:rFonts w:hint="eastAsia" w:ascii="宋体" w:hAnsi="宋体" w:eastAsia="宋体" w:cs="方正仿宋_GB2312"/>
                <w:color w:val="000000"/>
                <w:sz w:val="24"/>
                <w:szCs w:val="24"/>
              </w:rPr>
            </w:pPr>
            <w:r>
              <w:rPr>
                <w:rFonts w:hint="eastAsia" w:ascii="宋体" w:hAnsi="宋体" w:eastAsia="宋体" w:cs="方正仿宋_GB2312"/>
                <w:color w:val="000000"/>
                <w:kern w:val="0"/>
                <w:sz w:val="24"/>
                <w:szCs w:val="24"/>
                <w:lang w:bidi="ar"/>
              </w:rPr>
              <w:t>数据集扩充+YOLO fine-tune+模型评估</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657E51B2">
            <w:pPr>
              <w:widowControl/>
              <w:ind w:firstLine="480" w:firstLineChars="200"/>
              <w:jc w:val="center"/>
              <w:rPr>
                <w:rFonts w:hint="eastAsia" w:ascii="宋体" w:hAnsi="宋体" w:eastAsia="宋体" w:cs="方正仿宋_GB2312"/>
                <w:color w:val="000000"/>
                <w:sz w:val="24"/>
                <w:szCs w:val="24"/>
              </w:rPr>
            </w:pPr>
            <w:r>
              <w:rPr>
                <w:rFonts w:hint="eastAsia" w:ascii="宋体" w:hAnsi="宋体" w:eastAsia="宋体" w:cs="方正仿宋_GB2312"/>
                <w:color w:val="000000"/>
                <w:kern w:val="0"/>
                <w:sz w:val="24"/>
                <w:szCs w:val="24"/>
                <w:lang w:bidi="ar"/>
              </w:rPr>
              <w:t>模型精度报告</w:t>
            </w:r>
          </w:p>
        </w:tc>
      </w:tr>
      <w:tr w14:paraId="342516A7">
        <w:tblPrEx>
          <w:tblCellMar>
            <w:top w:w="15" w:type="dxa"/>
            <w:left w:w="15" w:type="dxa"/>
            <w:bottom w:w="15" w:type="dxa"/>
            <w:right w:w="15" w:type="dxa"/>
          </w:tblCellMar>
        </w:tblPrEx>
        <w:trPr>
          <w:trHeight w:val="665" w:hRule="atLeast"/>
        </w:trPr>
        <w:tc>
          <w:tcPr>
            <w:tcW w:w="413" w:type="pct"/>
            <w:tcBorders>
              <w:top w:val="nil"/>
              <w:left w:val="nil"/>
              <w:bottom w:val="nil"/>
              <w:right w:val="nil"/>
            </w:tcBorders>
            <w:shd w:val="clear" w:color="auto" w:fill="FFFFFF"/>
            <w:tcMar>
              <w:top w:w="80" w:type="dxa"/>
              <w:left w:w="80" w:type="dxa"/>
              <w:bottom w:w="80" w:type="dxa"/>
              <w:right w:w="80" w:type="dxa"/>
            </w:tcMar>
            <w:vAlign w:val="center"/>
          </w:tcPr>
          <w:p w14:paraId="37910B14">
            <w:pPr>
              <w:widowControl/>
              <w:ind w:firstLine="480" w:firstLineChars="200"/>
              <w:jc w:val="center"/>
              <w:rPr>
                <w:rFonts w:hint="eastAsia" w:ascii="宋体" w:hAnsi="宋体" w:eastAsia="宋体" w:cs="方正仿宋_GB2312"/>
                <w:color w:val="000000"/>
                <w:sz w:val="24"/>
                <w:szCs w:val="24"/>
              </w:rPr>
            </w:pPr>
            <w:r>
              <w:rPr>
                <w:rFonts w:hint="eastAsia" w:ascii="宋体" w:hAnsi="宋体" w:eastAsia="宋体" w:cs="方正仿宋_GB2312"/>
                <w:color w:val="000000"/>
                <w:kern w:val="0"/>
                <w:sz w:val="24"/>
                <w:szCs w:val="24"/>
                <w:lang w:bidi="ar"/>
              </w:rPr>
              <w:t>10月</w:t>
            </w:r>
          </w:p>
        </w:tc>
        <w:tc>
          <w:tcPr>
            <w:tcW w:w="784" w:type="pct"/>
            <w:tcBorders>
              <w:top w:val="nil"/>
              <w:left w:val="nil"/>
              <w:bottom w:val="nil"/>
              <w:right w:val="nil"/>
            </w:tcBorders>
            <w:shd w:val="clear" w:color="auto" w:fill="FFFFFF"/>
            <w:tcMar>
              <w:top w:w="80" w:type="dxa"/>
              <w:left w:w="80" w:type="dxa"/>
              <w:bottom w:w="80" w:type="dxa"/>
              <w:right w:w="80" w:type="dxa"/>
            </w:tcMar>
            <w:vAlign w:val="center"/>
          </w:tcPr>
          <w:p w14:paraId="5262D615">
            <w:pPr>
              <w:widowControl/>
              <w:ind w:firstLine="480" w:firstLineChars="200"/>
              <w:jc w:val="center"/>
              <w:rPr>
                <w:rFonts w:hint="eastAsia" w:ascii="宋体" w:hAnsi="宋体" w:eastAsia="宋体" w:cs="方正仿宋_GB2312"/>
                <w:color w:val="000000"/>
                <w:sz w:val="24"/>
                <w:szCs w:val="24"/>
              </w:rPr>
            </w:pPr>
            <w:r>
              <w:rPr>
                <w:rFonts w:hint="eastAsia" w:ascii="宋体" w:hAnsi="宋体" w:eastAsia="宋体" w:cs="方正仿宋_GB2312"/>
                <w:color w:val="000000"/>
                <w:kern w:val="0"/>
                <w:sz w:val="24"/>
                <w:szCs w:val="24"/>
                <w:lang w:bidi="ar"/>
              </w:rPr>
              <w:t>集成测试</w:t>
            </w:r>
          </w:p>
        </w:tc>
        <w:tc>
          <w:tcPr>
            <w:tcW w:w="2383" w:type="pct"/>
            <w:tcBorders>
              <w:top w:val="nil"/>
              <w:left w:val="nil"/>
              <w:bottom w:val="nil"/>
              <w:right w:val="nil"/>
            </w:tcBorders>
            <w:shd w:val="clear" w:color="auto" w:fill="FFFFFF"/>
            <w:tcMar>
              <w:top w:w="80" w:type="dxa"/>
              <w:left w:w="80" w:type="dxa"/>
              <w:bottom w:w="80" w:type="dxa"/>
              <w:right w:w="80" w:type="dxa"/>
            </w:tcMar>
            <w:vAlign w:val="center"/>
          </w:tcPr>
          <w:p w14:paraId="34BBB8F9">
            <w:pPr>
              <w:widowControl/>
              <w:ind w:firstLine="480" w:firstLineChars="200"/>
              <w:jc w:val="center"/>
              <w:rPr>
                <w:rFonts w:hint="eastAsia" w:ascii="宋体" w:hAnsi="宋体" w:eastAsia="宋体" w:cs="方正仿宋_GB2312"/>
                <w:color w:val="000000"/>
                <w:sz w:val="24"/>
                <w:szCs w:val="24"/>
              </w:rPr>
            </w:pPr>
            <w:r>
              <w:rPr>
                <w:rFonts w:hint="eastAsia" w:ascii="宋体" w:hAnsi="宋体" w:eastAsia="宋体" w:cs="方正仿宋_GB2312"/>
                <w:color w:val="000000"/>
                <w:kern w:val="0"/>
                <w:sz w:val="24"/>
                <w:szCs w:val="24"/>
                <w:lang w:bidi="ar"/>
              </w:rPr>
              <w:t>软硬件联调+内测+Bug修复</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20B3FE07">
            <w:pPr>
              <w:widowControl/>
              <w:ind w:firstLine="480" w:firstLineChars="200"/>
              <w:jc w:val="center"/>
              <w:rPr>
                <w:rFonts w:hint="eastAsia" w:ascii="宋体" w:hAnsi="宋体" w:eastAsia="宋体" w:cs="方正仿宋_GB2312"/>
                <w:color w:val="000000"/>
                <w:sz w:val="24"/>
                <w:szCs w:val="24"/>
              </w:rPr>
            </w:pPr>
            <w:r>
              <w:rPr>
                <w:rFonts w:hint="eastAsia" w:ascii="宋体" w:hAnsi="宋体" w:eastAsia="宋体" w:cs="方正仿宋_GB2312"/>
                <w:color w:val="000000"/>
                <w:kern w:val="0"/>
                <w:sz w:val="24"/>
                <w:szCs w:val="24"/>
                <w:lang w:bidi="ar"/>
              </w:rPr>
              <w:t>内测版本</w:t>
            </w:r>
          </w:p>
        </w:tc>
      </w:tr>
      <w:tr w14:paraId="792238DC">
        <w:tblPrEx>
          <w:tblCellMar>
            <w:top w:w="15" w:type="dxa"/>
            <w:left w:w="15" w:type="dxa"/>
            <w:bottom w:w="15" w:type="dxa"/>
            <w:right w:w="15" w:type="dxa"/>
          </w:tblCellMar>
        </w:tblPrEx>
        <w:trPr>
          <w:trHeight w:val="665" w:hRule="atLeast"/>
        </w:trPr>
        <w:tc>
          <w:tcPr>
            <w:tcW w:w="413" w:type="pct"/>
            <w:tcBorders>
              <w:top w:val="nil"/>
              <w:left w:val="nil"/>
              <w:bottom w:val="nil"/>
              <w:right w:val="nil"/>
            </w:tcBorders>
            <w:shd w:val="clear" w:color="auto" w:fill="FFFFFF"/>
            <w:tcMar>
              <w:top w:w="80" w:type="dxa"/>
              <w:left w:w="80" w:type="dxa"/>
              <w:bottom w:w="80" w:type="dxa"/>
              <w:right w:w="80" w:type="dxa"/>
            </w:tcMar>
            <w:vAlign w:val="center"/>
          </w:tcPr>
          <w:p w14:paraId="0DE2E2C8">
            <w:pPr>
              <w:widowControl/>
              <w:ind w:firstLine="480" w:firstLineChars="200"/>
              <w:jc w:val="center"/>
              <w:rPr>
                <w:rFonts w:hint="eastAsia" w:ascii="宋体" w:hAnsi="宋体" w:eastAsia="宋体" w:cs="方正仿宋_GB2312"/>
                <w:color w:val="000000"/>
                <w:sz w:val="24"/>
                <w:szCs w:val="24"/>
              </w:rPr>
            </w:pPr>
            <w:r>
              <w:rPr>
                <w:rFonts w:hint="eastAsia" w:ascii="宋体" w:hAnsi="宋体" w:eastAsia="宋体" w:cs="方正仿宋_GB2312"/>
                <w:color w:val="000000"/>
                <w:kern w:val="0"/>
                <w:sz w:val="24"/>
                <w:szCs w:val="24"/>
                <w:lang w:bidi="ar"/>
              </w:rPr>
              <w:t>11月</w:t>
            </w:r>
          </w:p>
        </w:tc>
        <w:tc>
          <w:tcPr>
            <w:tcW w:w="784" w:type="pct"/>
            <w:tcBorders>
              <w:top w:val="nil"/>
              <w:left w:val="nil"/>
              <w:bottom w:val="nil"/>
              <w:right w:val="nil"/>
            </w:tcBorders>
            <w:shd w:val="clear" w:color="auto" w:fill="FFFFFF"/>
            <w:tcMar>
              <w:top w:w="80" w:type="dxa"/>
              <w:left w:w="80" w:type="dxa"/>
              <w:bottom w:w="80" w:type="dxa"/>
              <w:right w:w="80" w:type="dxa"/>
            </w:tcMar>
            <w:vAlign w:val="center"/>
          </w:tcPr>
          <w:p w14:paraId="5422CB87">
            <w:pPr>
              <w:widowControl/>
              <w:ind w:firstLine="480" w:firstLineChars="200"/>
              <w:jc w:val="center"/>
              <w:rPr>
                <w:rFonts w:hint="eastAsia" w:ascii="宋体" w:hAnsi="宋体" w:eastAsia="宋体" w:cs="方正仿宋_GB2312"/>
                <w:color w:val="000000"/>
                <w:sz w:val="24"/>
                <w:szCs w:val="24"/>
              </w:rPr>
            </w:pPr>
            <w:r>
              <w:rPr>
                <w:rFonts w:hint="eastAsia" w:ascii="宋体" w:hAnsi="宋体" w:eastAsia="宋体" w:cs="方正仿宋_GB2312"/>
                <w:color w:val="000000"/>
                <w:kern w:val="0"/>
                <w:sz w:val="24"/>
                <w:szCs w:val="24"/>
                <w:lang w:bidi="ar"/>
              </w:rPr>
              <w:t>Logo与周边</w:t>
            </w:r>
          </w:p>
        </w:tc>
        <w:tc>
          <w:tcPr>
            <w:tcW w:w="2383" w:type="pct"/>
            <w:tcBorders>
              <w:top w:val="nil"/>
              <w:left w:val="nil"/>
              <w:bottom w:val="nil"/>
              <w:right w:val="nil"/>
            </w:tcBorders>
            <w:shd w:val="clear" w:color="auto" w:fill="FFFFFF"/>
            <w:tcMar>
              <w:top w:w="80" w:type="dxa"/>
              <w:left w:w="80" w:type="dxa"/>
              <w:bottom w:w="80" w:type="dxa"/>
              <w:right w:w="80" w:type="dxa"/>
            </w:tcMar>
            <w:vAlign w:val="center"/>
          </w:tcPr>
          <w:p w14:paraId="55E6CEB6">
            <w:pPr>
              <w:widowControl/>
              <w:ind w:firstLine="480" w:firstLineChars="200"/>
              <w:jc w:val="center"/>
              <w:rPr>
                <w:rFonts w:hint="eastAsia" w:ascii="宋体" w:hAnsi="宋体" w:eastAsia="宋体" w:cs="方正仿宋_GB2312"/>
                <w:color w:val="000000"/>
                <w:sz w:val="24"/>
                <w:szCs w:val="24"/>
              </w:rPr>
            </w:pPr>
            <w:r>
              <w:rPr>
                <w:rFonts w:hint="eastAsia" w:ascii="宋体" w:hAnsi="宋体" w:eastAsia="宋体" w:cs="方正仿宋_GB2312"/>
                <w:color w:val="000000"/>
                <w:kern w:val="0"/>
                <w:sz w:val="24"/>
                <w:szCs w:val="24"/>
                <w:lang w:bidi="ar"/>
              </w:rPr>
              <w:t>Logo设计定稿+首批周边打样+品牌上线</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1294FFB3">
            <w:pPr>
              <w:widowControl/>
              <w:ind w:firstLine="480" w:firstLineChars="200"/>
              <w:jc w:val="center"/>
              <w:rPr>
                <w:rFonts w:hint="eastAsia" w:ascii="宋体" w:hAnsi="宋体" w:eastAsia="宋体" w:cs="方正仿宋_GB2312"/>
                <w:color w:val="000000"/>
                <w:sz w:val="24"/>
                <w:szCs w:val="24"/>
              </w:rPr>
            </w:pPr>
            <w:r>
              <w:rPr>
                <w:rFonts w:hint="eastAsia" w:ascii="宋体" w:hAnsi="宋体" w:eastAsia="宋体" w:cs="方正仿宋_GB2312"/>
                <w:color w:val="000000"/>
                <w:kern w:val="0"/>
                <w:sz w:val="24"/>
                <w:szCs w:val="24"/>
                <w:lang w:bidi="ar"/>
              </w:rPr>
              <w:t>Logo+实物周边</w:t>
            </w:r>
          </w:p>
        </w:tc>
      </w:tr>
      <w:tr w14:paraId="0C5AC133">
        <w:tblPrEx>
          <w:tblCellMar>
            <w:top w:w="15" w:type="dxa"/>
            <w:left w:w="15" w:type="dxa"/>
            <w:bottom w:w="15" w:type="dxa"/>
            <w:right w:w="15" w:type="dxa"/>
          </w:tblCellMar>
        </w:tblPrEx>
        <w:trPr>
          <w:trHeight w:val="665" w:hRule="atLeast"/>
        </w:trPr>
        <w:tc>
          <w:tcPr>
            <w:tcW w:w="413" w:type="pct"/>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30EC5106">
            <w:pPr>
              <w:widowControl/>
              <w:ind w:firstLine="480" w:firstLineChars="200"/>
              <w:jc w:val="center"/>
              <w:rPr>
                <w:rFonts w:hint="eastAsia" w:ascii="宋体" w:hAnsi="宋体" w:eastAsia="宋体" w:cs="方正仿宋_GB2312"/>
                <w:color w:val="000000"/>
                <w:sz w:val="24"/>
                <w:szCs w:val="24"/>
              </w:rPr>
            </w:pPr>
            <w:r>
              <w:rPr>
                <w:rFonts w:hint="eastAsia" w:ascii="宋体" w:hAnsi="宋体" w:eastAsia="宋体" w:cs="方正仿宋_GB2312"/>
                <w:color w:val="000000"/>
                <w:sz w:val="24"/>
                <w:szCs w:val="24"/>
              </w:rPr>
              <w:t>12月</w:t>
            </w:r>
          </w:p>
        </w:tc>
        <w:tc>
          <w:tcPr>
            <w:tcW w:w="784" w:type="pct"/>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74ED2BD1">
            <w:pPr>
              <w:widowControl/>
              <w:ind w:firstLine="480" w:firstLineChars="200"/>
              <w:jc w:val="center"/>
              <w:rPr>
                <w:rFonts w:hint="eastAsia" w:ascii="宋体" w:hAnsi="宋体" w:eastAsia="宋体" w:cs="方正仿宋_GB2312"/>
                <w:color w:val="000000"/>
                <w:sz w:val="24"/>
                <w:szCs w:val="24"/>
              </w:rPr>
            </w:pPr>
            <w:r>
              <w:rPr>
                <w:rFonts w:hint="eastAsia" w:ascii="宋体" w:hAnsi="宋体" w:eastAsia="宋体" w:cs="方正仿宋_GB2312"/>
                <w:color w:val="000000"/>
                <w:kern w:val="0"/>
                <w:sz w:val="24"/>
                <w:szCs w:val="24"/>
                <w:lang w:bidi="ar"/>
              </w:rPr>
              <w:t>种子发布</w:t>
            </w:r>
          </w:p>
        </w:tc>
        <w:tc>
          <w:tcPr>
            <w:tcW w:w="2383" w:type="pct"/>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49B6EC8F">
            <w:pPr>
              <w:widowControl/>
              <w:ind w:firstLine="480" w:firstLineChars="200"/>
              <w:jc w:val="center"/>
              <w:rPr>
                <w:rFonts w:hint="eastAsia" w:ascii="宋体" w:hAnsi="宋体" w:eastAsia="宋体" w:cs="方正仿宋_GB2312"/>
                <w:color w:val="000000"/>
                <w:sz w:val="24"/>
                <w:szCs w:val="24"/>
              </w:rPr>
            </w:pPr>
            <w:r>
              <w:rPr>
                <w:rFonts w:hint="eastAsia" w:ascii="宋体" w:hAnsi="宋体" w:eastAsia="宋体" w:cs="方正仿宋_GB2312"/>
                <w:color w:val="000000"/>
                <w:kern w:val="0"/>
                <w:sz w:val="24"/>
                <w:szCs w:val="24"/>
                <w:lang w:bidi="ar"/>
              </w:rPr>
              <w:t>50人内测+路演准备+项目策划书完善</w:t>
            </w:r>
          </w:p>
        </w:tc>
        <w:tc>
          <w:tcPr>
            <w:tcW w:w="0" w:type="auto"/>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099DF8B4">
            <w:pPr>
              <w:widowControl/>
              <w:ind w:firstLine="480" w:firstLineChars="200"/>
              <w:jc w:val="center"/>
              <w:rPr>
                <w:rFonts w:hint="eastAsia" w:ascii="宋体" w:hAnsi="宋体" w:eastAsia="宋体" w:cs="方正仿宋_GB2312"/>
                <w:color w:val="000000"/>
                <w:sz w:val="24"/>
                <w:szCs w:val="24"/>
              </w:rPr>
            </w:pPr>
            <w:r>
              <w:rPr>
                <w:rFonts w:hint="eastAsia" w:ascii="宋体" w:hAnsi="宋体" w:eastAsia="宋体" w:cs="方正仿宋_GB2312"/>
                <w:color w:val="000000"/>
                <w:kern w:val="0"/>
                <w:sz w:val="24"/>
                <w:szCs w:val="24"/>
                <w:lang w:bidi="ar"/>
              </w:rPr>
              <w:t>内测报告+PPT</w:t>
            </w:r>
          </w:p>
        </w:tc>
      </w:tr>
    </w:tbl>
    <w:p w14:paraId="10B270A9">
      <w:pPr>
        <w:spacing w:line="560" w:lineRule="atLeast"/>
        <w:ind w:firstLine="480" w:firstLineChars="200"/>
        <w:rPr>
          <w:rFonts w:hint="eastAsia" w:ascii="宋体" w:hAnsi="宋体" w:eastAsia="宋体" w:cs="方正仿宋_GB2312"/>
          <w:sz w:val="24"/>
          <w:szCs w:val="24"/>
        </w:rPr>
      </w:pPr>
    </w:p>
    <w:p w14:paraId="2898C08A">
      <w:pPr>
        <w:pStyle w:val="52"/>
        <w:rPr>
          <w:rFonts w:hint="eastAsia"/>
        </w:rPr>
      </w:pPr>
      <w:bookmarkStart w:id="74" w:name="_Toc232355818"/>
      <w:r>
        <w:rPr>
          <w:rFonts w:hint="eastAsia"/>
        </w:rPr>
        <w:t>七、风险评估与应对预案</w:t>
      </w:r>
      <w:bookmarkEnd w:id="74"/>
    </w:p>
    <w:p w14:paraId="071F2A01">
      <w:pPr>
        <w:ind w:firstLine="482" w:firstLineChars="200"/>
        <w:outlineLvl w:val="1"/>
        <w:rPr>
          <w:rFonts w:hint="eastAsia" w:ascii="宋体" w:hAnsi="宋体" w:eastAsia="宋体" w:cs="黑体"/>
          <w:b/>
          <w:bCs/>
          <w:sz w:val="24"/>
          <w:szCs w:val="24"/>
        </w:rPr>
      </w:pPr>
      <w:bookmarkStart w:id="75" w:name="_Toc232355819"/>
      <w:r>
        <w:rPr>
          <w:rFonts w:hint="eastAsia" w:ascii="宋体" w:hAnsi="宋体" w:eastAsia="宋体" w:cs="黑体"/>
          <w:b/>
          <w:bCs/>
          <w:sz w:val="24"/>
          <w:szCs w:val="24"/>
        </w:rPr>
        <w:t>7.1 风险矩阵</w:t>
      </w:r>
      <w:bookmarkEnd w:id="75"/>
    </w:p>
    <w:tbl>
      <w:tblPr>
        <w:tblStyle w:val="26"/>
        <w:tblW w:w="88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1775"/>
        <w:gridCol w:w="1775"/>
        <w:gridCol w:w="1776"/>
        <w:gridCol w:w="1776"/>
      </w:tblGrid>
      <w:tr w14:paraId="484C2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vAlign w:val="center"/>
          </w:tcPr>
          <w:p w14:paraId="519B20DC">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风险类别</w:t>
            </w:r>
          </w:p>
        </w:tc>
        <w:tc>
          <w:tcPr>
            <w:tcW w:w="1775" w:type="dxa"/>
            <w:vAlign w:val="center"/>
          </w:tcPr>
          <w:p w14:paraId="4748701D">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风险描述</w:t>
            </w:r>
          </w:p>
        </w:tc>
        <w:tc>
          <w:tcPr>
            <w:tcW w:w="1775" w:type="dxa"/>
            <w:vAlign w:val="center"/>
          </w:tcPr>
          <w:p w14:paraId="4101DA5B">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发生概率</w:t>
            </w:r>
          </w:p>
        </w:tc>
        <w:tc>
          <w:tcPr>
            <w:tcW w:w="1776" w:type="dxa"/>
            <w:vAlign w:val="center"/>
          </w:tcPr>
          <w:p w14:paraId="7F22BC62">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风险等级</w:t>
            </w:r>
          </w:p>
        </w:tc>
        <w:tc>
          <w:tcPr>
            <w:tcW w:w="1776" w:type="dxa"/>
            <w:vAlign w:val="center"/>
          </w:tcPr>
          <w:p w14:paraId="72A1E7F2">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应对策略</w:t>
            </w:r>
          </w:p>
        </w:tc>
      </w:tr>
      <w:tr w14:paraId="2E442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vMerge w:val="restart"/>
            <w:vAlign w:val="center"/>
          </w:tcPr>
          <w:p w14:paraId="2BBE7A68">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技术风险</w:t>
            </w:r>
          </w:p>
        </w:tc>
        <w:tc>
          <w:tcPr>
            <w:tcW w:w="1775" w:type="dxa"/>
            <w:vAlign w:val="center"/>
          </w:tcPr>
          <w:p w14:paraId="456AC48B">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算法精度未达90%目标</w:t>
            </w:r>
          </w:p>
        </w:tc>
        <w:tc>
          <w:tcPr>
            <w:tcW w:w="1775" w:type="dxa"/>
            <w:vAlign w:val="center"/>
          </w:tcPr>
          <w:p w14:paraId="2C02DD64">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中</w:t>
            </w:r>
          </w:p>
        </w:tc>
        <w:tc>
          <w:tcPr>
            <w:tcW w:w="1776" w:type="dxa"/>
            <w:vAlign w:val="center"/>
          </w:tcPr>
          <w:p w14:paraId="04F41774">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中</w:t>
            </w:r>
          </w:p>
        </w:tc>
        <w:tc>
          <w:tcPr>
            <w:tcW w:w="1776" w:type="dxa"/>
            <w:vAlign w:val="center"/>
          </w:tcPr>
          <w:p w14:paraId="2334739E">
            <w:pPr>
              <w:ind w:firstLine="480" w:firstLineChars="200"/>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聚焦核心BFRBs类型（咬指甲、拔毛、抓皮肤），补充相似动作负样本，迭代优化</w:t>
            </w:r>
          </w:p>
        </w:tc>
      </w:tr>
      <w:tr w14:paraId="43713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vMerge w:val="continue"/>
            <w:vAlign w:val="center"/>
          </w:tcPr>
          <w:p w14:paraId="08082A8F">
            <w:pPr>
              <w:ind w:firstLine="480" w:firstLineChars="200"/>
              <w:jc w:val="center"/>
              <w:rPr>
                <w:rFonts w:hint="eastAsia" w:ascii="宋体" w:hAnsi="宋体" w:eastAsia="宋体" w:cs="宋体"/>
                <w:sz w:val="24"/>
                <w:szCs w:val="24"/>
                <w14:ligatures w14:val="standardContextual"/>
              </w:rPr>
            </w:pPr>
          </w:p>
        </w:tc>
        <w:tc>
          <w:tcPr>
            <w:tcW w:w="1775" w:type="dxa"/>
            <w:vAlign w:val="center"/>
          </w:tcPr>
          <w:p w14:paraId="3C5566CC">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传感器同步误差过大</w:t>
            </w:r>
          </w:p>
        </w:tc>
        <w:tc>
          <w:tcPr>
            <w:tcW w:w="1775" w:type="dxa"/>
            <w:vAlign w:val="center"/>
          </w:tcPr>
          <w:p w14:paraId="33557873">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低</w:t>
            </w:r>
          </w:p>
        </w:tc>
        <w:tc>
          <w:tcPr>
            <w:tcW w:w="1776" w:type="dxa"/>
            <w:vAlign w:val="center"/>
          </w:tcPr>
          <w:p w14:paraId="70FAB388">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低</w:t>
            </w:r>
          </w:p>
        </w:tc>
        <w:tc>
          <w:tcPr>
            <w:tcW w:w="1776" w:type="dxa"/>
            <w:vAlign w:val="center"/>
          </w:tcPr>
          <w:p w14:paraId="5CC66DDA">
            <w:pPr>
              <w:ind w:firstLine="480" w:firstLineChars="200"/>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启用基于时间戳的二次校准算法 + 卡尔曼滤波修正</w:t>
            </w:r>
          </w:p>
        </w:tc>
      </w:tr>
      <w:tr w14:paraId="7BDCE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vMerge w:val="continue"/>
            <w:vAlign w:val="center"/>
          </w:tcPr>
          <w:p w14:paraId="687FAF93">
            <w:pPr>
              <w:ind w:firstLine="480" w:firstLineChars="200"/>
              <w:jc w:val="center"/>
              <w:rPr>
                <w:rFonts w:hint="eastAsia" w:ascii="宋体" w:hAnsi="宋体" w:eastAsia="宋体" w:cs="宋体"/>
                <w:sz w:val="24"/>
                <w:szCs w:val="24"/>
                <w14:ligatures w14:val="standardContextual"/>
              </w:rPr>
            </w:pPr>
          </w:p>
        </w:tc>
        <w:tc>
          <w:tcPr>
            <w:tcW w:w="1775" w:type="dxa"/>
            <w:vAlign w:val="center"/>
          </w:tcPr>
          <w:p w14:paraId="057F7EBC">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YOLO边缘端推理延迟过高</w:t>
            </w:r>
          </w:p>
        </w:tc>
        <w:tc>
          <w:tcPr>
            <w:tcW w:w="1775" w:type="dxa"/>
            <w:vAlign w:val="center"/>
          </w:tcPr>
          <w:p w14:paraId="072DAE18">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中</w:t>
            </w:r>
          </w:p>
        </w:tc>
        <w:tc>
          <w:tcPr>
            <w:tcW w:w="1776" w:type="dxa"/>
            <w:vAlign w:val="center"/>
          </w:tcPr>
          <w:p w14:paraId="7E7C803E">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低</w:t>
            </w:r>
          </w:p>
        </w:tc>
        <w:tc>
          <w:tcPr>
            <w:tcW w:w="1776" w:type="dxa"/>
            <w:vAlign w:val="center"/>
          </w:tcPr>
          <w:p w14:paraId="0950CD34">
            <w:pPr>
              <w:ind w:firstLine="480" w:firstLineChars="200"/>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TensorRT量化加速 + 模型剪枝 + 云端备选方案</w:t>
            </w:r>
          </w:p>
        </w:tc>
      </w:tr>
      <w:tr w14:paraId="6D672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vMerge w:val="restart"/>
            <w:vAlign w:val="center"/>
          </w:tcPr>
          <w:p w14:paraId="65C8B14E">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市场风险</w:t>
            </w:r>
          </w:p>
        </w:tc>
        <w:tc>
          <w:tcPr>
            <w:tcW w:w="1775" w:type="dxa"/>
            <w:vAlign w:val="center"/>
          </w:tcPr>
          <w:p w14:paraId="5F46D813">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用户付费意愿不足</w:t>
            </w:r>
          </w:p>
        </w:tc>
        <w:tc>
          <w:tcPr>
            <w:tcW w:w="1775" w:type="dxa"/>
            <w:vAlign w:val="center"/>
          </w:tcPr>
          <w:p w14:paraId="3BDC2978">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中</w:t>
            </w:r>
          </w:p>
        </w:tc>
        <w:tc>
          <w:tcPr>
            <w:tcW w:w="1776" w:type="dxa"/>
            <w:vAlign w:val="center"/>
          </w:tcPr>
          <w:p w14:paraId="082FAEE6">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高</w:t>
            </w:r>
          </w:p>
        </w:tc>
        <w:tc>
          <w:tcPr>
            <w:tcW w:w="1776" w:type="dxa"/>
            <w:vAlign w:val="center"/>
          </w:tcPr>
          <w:p w14:paraId="285559EA">
            <w:pPr>
              <w:ind w:firstLine="480" w:firstLineChars="200"/>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Freemium模式降低门槛 + 校园/企业B端先行 + 硬件绑定提升粘性</w:t>
            </w:r>
          </w:p>
        </w:tc>
      </w:tr>
      <w:tr w14:paraId="5CDFF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vMerge w:val="continue"/>
            <w:vAlign w:val="center"/>
          </w:tcPr>
          <w:p w14:paraId="2A57588B">
            <w:pPr>
              <w:ind w:firstLine="480" w:firstLineChars="200"/>
              <w:jc w:val="center"/>
              <w:rPr>
                <w:rFonts w:hint="eastAsia" w:ascii="宋体" w:hAnsi="宋体" w:eastAsia="宋体" w:cs="宋体"/>
                <w:sz w:val="24"/>
                <w:szCs w:val="24"/>
                <w14:ligatures w14:val="standardContextual"/>
              </w:rPr>
            </w:pPr>
          </w:p>
        </w:tc>
        <w:tc>
          <w:tcPr>
            <w:tcW w:w="1775" w:type="dxa"/>
            <w:vAlign w:val="center"/>
          </w:tcPr>
          <w:p w14:paraId="73EC9DA4">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竞品快速跟进</w:t>
            </w:r>
          </w:p>
        </w:tc>
        <w:tc>
          <w:tcPr>
            <w:tcW w:w="1775" w:type="dxa"/>
            <w:vAlign w:val="center"/>
          </w:tcPr>
          <w:p w14:paraId="576891EA">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低</w:t>
            </w:r>
          </w:p>
        </w:tc>
        <w:tc>
          <w:tcPr>
            <w:tcW w:w="1776" w:type="dxa"/>
            <w:vAlign w:val="center"/>
          </w:tcPr>
          <w:p w14:paraId="61B2A93A">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低</w:t>
            </w:r>
          </w:p>
        </w:tc>
        <w:tc>
          <w:tcPr>
            <w:tcW w:w="1776" w:type="dxa"/>
            <w:vAlign w:val="center"/>
          </w:tcPr>
          <w:p w14:paraId="1E131381">
            <w:pPr>
              <w:ind w:firstLine="480" w:firstLineChars="200"/>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持续迭代保持技术领先 + 专利护城河 + 品牌心智占领</w:t>
            </w:r>
          </w:p>
        </w:tc>
      </w:tr>
      <w:tr w14:paraId="11A97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vMerge w:val="restart"/>
            <w:vAlign w:val="center"/>
          </w:tcPr>
          <w:p w14:paraId="164F69E2">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运营风险</w:t>
            </w:r>
          </w:p>
        </w:tc>
        <w:tc>
          <w:tcPr>
            <w:tcW w:w="1775" w:type="dxa"/>
            <w:vAlign w:val="center"/>
          </w:tcPr>
          <w:p w14:paraId="7F9DC376">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用户数据隐私泄露</w:t>
            </w:r>
          </w:p>
        </w:tc>
        <w:tc>
          <w:tcPr>
            <w:tcW w:w="1775" w:type="dxa"/>
            <w:vAlign w:val="center"/>
          </w:tcPr>
          <w:p w14:paraId="62608731">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低</w:t>
            </w:r>
          </w:p>
        </w:tc>
        <w:tc>
          <w:tcPr>
            <w:tcW w:w="1776" w:type="dxa"/>
            <w:vAlign w:val="center"/>
          </w:tcPr>
          <w:p w14:paraId="2C2F506C">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高</w:t>
            </w:r>
          </w:p>
        </w:tc>
        <w:tc>
          <w:tcPr>
            <w:tcW w:w="1776" w:type="dxa"/>
            <w:vAlign w:val="center"/>
          </w:tcPr>
          <w:p w14:paraId="2E2D0F1C">
            <w:pPr>
              <w:ind w:firstLine="480" w:firstLineChars="200"/>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数据采集本地化处理 + 传输加密 + 遵循《个人信息保护法》+ 等保合规</w:t>
            </w:r>
          </w:p>
        </w:tc>
      </w:tr>
      <w:tr w14:paraId="23BE2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vMerge w:val="continue"/>
            <w:vAlign w:val="center"/>
          </w:tcPr>
          <w:p w14:paraId="2C584056">
            <w:pPr>
              <w:ind w:firstLine="480" w:firstLineChars="200"/>
              <w:jc w:val="center"/>
              <w:rPr>
                <w:rFonts w:hint="eastAsia" w:ascii="宋体" w:hAnsi="宋体" w:eastAsia="宋体" w:cs="宋体"/>
                <w:sz w:val="24"/>
                <w:szCs w:val="24"/>
                <w14:ligatures w14:val="standardContextual"/>
              </w:rPr>
            </w:pPr>
          </w:p>
        </w:tc>
        <w:tc>
          <w:tcPr>
            <w:tcW w:w="1775" w:type="dxa"/>
            <w:vAlign w:val="center"/>
          </w:tcPr>
          <w:p w14:paraId="50A8E601">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种子用户招募不足</w:t>
            </w:r>
          </w:p>
        </w:tc>
        <w:tc>
          <w:tcPr>
            <w:tcW w:w="1775" w:type="dxa"/>
            <w:vAlign w:val="center"/>
          </w:tcPr>
          <w:p w14:paraId="7A8C8821">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中</w:t>
            </w:r>
          </w:p>
        </w:tc>
        <w:tc>
          <w:tcPr>
            <w:tcW w:w="1776" w:type="dxa"/>
            <w:vAlign w:val="center"/>
          </w:tcPr>
          <w:p w14:paraId="7C4F5D09">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低</w:t>
            </w:r>
          </w:p>
        </w:tc>
        <w:tc>
          <w:tcPr>
            <w:tcW w:w="1776" w:type="dxa"/>
            <w:vAlign w:val="center"/>
          </w:tcPr>
          <w:p w14:paraId="0BB116A3">
            <w:pPr>
              <w:ind w:firstLine="480" w:firstLineChars="200"/>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联动高校心理中心 + “自愿参与+加分激励”模式 + 社团合作</w:t>
            </w:r>
          </w:p>
        </w:tc>
      </w:tr>
      <w:tr w14:paraId="1A903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vAlign w:val="center"/>
          </w:tcPr>
          <w:p w14:paraId="50307806">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财务风险</w:t>
            </w:r>
          </w:p>
        </w:tc>
        <w:tc>
          <w:tcPr>
            <w:tcW w:w="1775" w:type="dxa"/>
            <w:vAlign w:val="center"/>
          </w:tcPr>
          <w:p w14:paraId="6E7959D1">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研发经费超支</w:t>
            </w:r>
          </w:p>
        </w:tc>
        <w:tc>
          <w:tcPr>
            <w:tcW w:w="1775" w:type="dxa"/>
            <w:vAlign w:val="center"/>
          </w:tcPr>
          <w:p w14:paraId="40778662">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低</w:t>
            </w:r>
          </w:p>
        </w:tc>
        <w:tc>
          <w:tcPr>
            <w:tcW w:w="1776" w:type="dxa"/>
            <w:vAlign w:val="center"/>
          </w:tcPr>
          <w:p w14:paraId="446B4753">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低</w:t>
            </w:r>
          </w:p>
        </w:tc>
        <w:tc>
          <w:tcPr>
            <w:tcW w:w="1776" w:type="dxa"/>
            <w:vAlign w:val="center"/>
          </w:tcPr>
          <w:p w14:paraId="629C204E">
            <w:pPr>
              <w:ind w:firstLine="480" w:firstLineChars="200"/>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优先保障核心硬件与数据采集，控制非必要支出</w:t>
            </w:r>
          </w:p>
        </w:tc>
      </w:tr>
      <w:tr w14:paraId="0E774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vAlign w:val="center"/>
          </w:tcPr>
          <w:p w14:paraId="28EB03CC">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政策风险</w:t>
            </w:r>
          </w:p>
        </w:tc>
        <w:tc>
          <w:tcPr>
            <w:tcW w:w="1775" w:type="dxa"/>
            <w:vAlign w:val="center"/>
          </w:tcPr>
          <w:p w14:paraId="5AFD632D">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数字医疗监管政策变化</w:t>
            </w:r>
          </w:p>
        </w:tc>
        <w:tc>
          <w:tcPr>
            <w:tcW w:w="1775" w:type="dxa"/>
            <w:vAlign w:val="center"/>
          </w:tcPr>
          <w:p w14:paraId="45D2ACC9">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低</w:t>
            </w:r>
          </w:p>
        </w:tc>
        <w:tc>
          <w:tcPr>
            <w:tcW w:w="1776" w:type="dxa"/>
            <w:vAlign w:val="center"/>
          </w:tcPr>
          <w:p w14:paraId="3E3B6307">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低</w:t>
            </w:r>
          </w:p>
        </w:tc>
        <w:tc>
          <w:tcPr>
            <w:tcW w:w="1776" w:type="dxa"/>
            <w:vAlign w:val="center"/>
          </w:tcPr>
          <w:p w14:paraId="0752CC61">
            <w:pPr>
              <w:ind w:firstLine="480" w:firstLineChars="200"/>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密切关注监管动态 + 提前布局医疗器械认证（二类）</w:t>
            </w:r>
          </w:p>
        </w:tc>
      </w:tr>
    </w:tbl>
    <w:p w14:paraId="1103D3A4">
      <w:pPr>
        <w:ind w:firstLine="480" w:firstLineChars="200"/>
        <w:jc w:val="center"/>
        <w:rPr>
          <w:rFonts w:hint="eastAsia" w:ascii="宋体" w:hAnsi="宋体" w:eastAsia="宋体" w:cs="宋体"/>
          <w:sz w:val="24"/>
          <w:szCs w:val="24"/>
        </w:rPr>
      </w:pPr>
    </w:p>
    <w:p w14:paraId="5ADB007C">
      <w:pPr>
        <w:ind w:firstLine="482" w:firstLineChars="200"/>
        <w:outlineLvl w:val="1"/>
        <w:rPr>
          <w:rFonts w:hint="eastAsia" w:ascii="宋体" w:hAnsi="宋体" w:eastAsia="宋体" w:cs="黑体"/>
          <w:b/>
          <w:bCs/>
          <w:sz w:val="24"/>
          <w:szCs w:val="24"/>
        </w:rPr>
      </w:pPr>
      <w:bookmarkStart w:id="76" w:name="_Toc232355820"/>
      <w:r>
        <w:rPr>
          <w:rFonts w:hint="eastAsia" w:ascii="宋体" w:hAnsi="宋体" w:eastAsia="宋体" w:cs="黑体"/>
          <w:b/>
          <w:bCs/>
          <w:sz w:val="24"/>
          <w:szCs w:val="24"/>
        </w:rPr>
        <w:t>7.2 应急预案</w:t>
      </w:r>
      <w:bookmarkEnd w:id="76"/>
    </w:p>
    <w:p w14:paraId="1EAE80F2">
      <w:pPr>
        <w:ind w:firstLine="480" w:firstLineChars="200"/>
        <w:rPr>
          <w:rFonts w:hint="eastAsia" w:ascii="宋体" w:hAnsi="宋体" w:eastAsia="宋体" w:cs="宋体"/>
          <w:sz w:val="24"/>
          <w:szCs w:val="24"/>
        </w:rPr>
      </w:pPr>
      <w:r>
        <w:rPr>
          <w:rFonts w:hint="eastAsia" w:ascii="宋体" w:hAnsi="宋体" w:eastAsia="宋体" w:cs="宋体"/>
          <w:sz w:val="24"/>
          <w:szCs w:val="24"/>
        </w:rPr>
        <w:t>风险等级中（立即启动）：</w:t>
      </w:r>
    </w:p>
    <w:p w14:paraId="27958CF9">
      <w:pPr>
        <w:ind w:firstLine="480" w:firstLineChars="200"/>
        <w:rPr>
          <w:rFonts w:hint="eastAsia" w:ascii="宋体" w:hAnsi="宋体" w:eastAsia="宋体" w:cs="宋体"/>
          <w:sz w:val="24"/>
          <w:szCs w:val="24"/>
        </w:rPr>
      </w:pPr>
      <w:r>
        <w:rPr>
          <w:rFonts w:hint="eastAsia" w:ascii="宋体" w:hAnsi="宋体" w:eastAsia="宋体" w:cs="宋体"/>
          <w:sz w:val="24"/>
          <w:szCs w:val="24"/>
        </w:rPr>
        <w:t>数据安全事件 → 24h内上报 + 用户通知 + 安全审计 + 整改</w:t>
      </w:r>
    </w:p>
    <w:p w14:paraId="2F4DE3C1">
      <w:pPr>
        <w:ind w:firstLine="480" w:firstLineChars="200"/>
        <w:rPr>
          <w:rFonts w:hint="eastAsia" w:ascii="宋体" w:hAnsi="宋体" w:eastAsia="宋体" w:cs="宋体"/>
          <w:sz w:val="24"/>
          <w:szCs w:val="24"/>
        </w:rPr>
      </w:pPr>
      <w:r>
        <w:rPr>
          <w:rFonts w:hint="eastAsia" w:ascii="宋体" w:hAnsi="宋体" w:eastAsia="宋体" w:cs="宋体"/>
          <w:sz w:val="24"/>
          <w:szCs w:val="24"/>
        </w:rPr>
        <w:t>算法重大缺陷 → 回滚至上一稳定版本 + 紧急修复 + 用户补偿</w:t>
      </w:r>
    </w:p>
    <w:p w14:paraId="5A273EE6">
      <w:pPr>
        <w:ind w:firstLine="480" w:firstLineChars="200"/>
        <w:rPr>
          <w:rFonts w:hint="eastAsia" w:ascii="宋体" w:hAnsi="宋体" w:eastAsia="宋体" w:cs="宋体"/>
          <w:sz w:val="24"/>
          <w:szCs w:val="24"/>
        </w:rPr>
      </w:pPr>
    </w:p>
    <w:p w14:paraId="2EA4EAF4">
      <w:pPr>
        <w:ind w:firstLine="480" w:firstLineChars="200"/>
        <w:rPr>
          <w:rFonts w:hint="eastAsia" w:ascii="宋体" w:hAnsi="宋体" w:eastAsia="宋体" w:cs="宋体"/>
          <w:sz w:val="24"/>
          <w:szCs w:val="24"/>
        </w:rPr>
      </w:pPr>
      <w:r>
        <w:rPr>
          <w:rFonts w:hint="eastAsia" w:ascii="宋体" w:hAnsi="宋体" w:eastAsia="宋体" w:cs="宋体"/>
          <w:sz w:val="24"/>
          <w:szCs w:val="24"/>
        </w:rPr>
        <w:t>风险等级低（72h内响应）：</w:t>
      </w:r>
    </w:p>
    <w:p w14:paraId="07D64D9D">
      <w:pPr>
        <w:ind w:firstLine="480" w:firstLineChars="200"/>
        <w:rPr>
          <w:rFonts w:hint="eastAsia" w:ascii="宋体" w:hAnsi="宋体" w:eastAsia="宋体" w:cs="宋体"/>
          <w:sz w:val="24"/>
          <w:szCs w:val="24"/>
        </w:rPr>
      </w:pPr>
      <w:r>
        <w:rPr>
          <w:rFonts w:hint="eastAsia" w:ascii="宋体" w:hAnsi="宋体" w:eastAsia="宋体" w:cs="宋体"/>
          <w:sz w:val="24"/>
          <w:szCs w:val="24"/>
        </w:rPr>
        <w:t>用户增长放缓 → 调整推广策略 + 促销活动 + 产品改进</w:t>
      </w:r>
    </w:p>
    <w:p w14:paraId="436C31A3">
      <w:pPr>
        <w:ind w:firstLine="480" w:firstLineChars="200"/>
        <w:rPr>
          <w:rFonts w:hint="eastAsia" w:ascii="宋体" w:hAnsi="宋体" w:eastAsia="宋体" w:cs="宋体"/>
          <w:sz w:val="24"/>
          <w:szCs w:val="24"/>
        </w:rPr>
      </w:pPr>
      <w:r>
        <w:rPr>
          <w:rFonts w:hint="eastAsia" w:ascii="宋体" w:hAnsi="宋体" w:eastAsia="宋体" w:cs="宋体"/>
          <w:sz w:val="24"/>
          <w:szCs w:val="24"/>
        </w:rPr>
        <w:t>硬件供应链中断 → 启用备用供应商 + 库存缓冲</w:t>
      </w:r>
    </w:p>
    <w:p w14:paraId="28B91D7F">
      <w:pPr>
        <w:ind w:firstLine="480" w:firstLineChars="200"/>
        <w:rPr>
          <w:rFonts w:hint="eastAsia" w:ascii="宋体" w:hAnsi="宋体" w:eastAsia="宋体" w:cs="宋体"/>
          <w:sz w:val="24"/>
          <w:szCs w:val="24"/>
        </w:rPr>
      </w:pPr>
      <w:r>
        <w:rPr>
          <w:rFonts w:hint="eastAsia" w:ascii="宋体" w:hAnsi="宋体" w:eastAsia="宋体" w:cs="宋体"/>
          <w:sz w:val="24"/>
          <w:szCs w:val="24"/>
        </w:rPr>
        <w:t>负面舆情 → 公关响应 + 事实澄清 + 产品改进承诺</w:t>
      </w:r>
    </w:p>
    <w:p w14:paraId="60AD5E76">
      <w:pPr>
        <w:ind w:firstLine="480" w:firstLineChars="200"/>
        <w:rPr>
          <w:rFonts w:hint="eastAsia" w:ascii="宋体" w:hAnsi="宋体" w:eastAsia="宋体" w:cs="黑体"/>
          <w:sz w:val="24"/>
          <w:szCs w:val="24"/>
        </w:rPr>
      </w:pPr>
    </w:p>
    <w:p w14:paraId="760DC016">
      <w:pPr>
        <w:pStyle w:val="52"/>
        <w:rPr>
          <w:rFonts w:hint="eastAsia"/>
        </w:rPr>
      </w:pPr>
      <w:bookmarkStart w:id="77" w:name="_Toc232355821"/>
      <w:r>
        <w:rPr>
          <w:rFonts w:hint="eastAsia"/>
        </w:rPr>
        <w:t>八、团队介绍</w:t>
      </w:r>
      <w:bookmarkEnd w:id="77"/>
    </w:p>
    <w:p w14:paraId="088F096D">
      <w:pPr>
        <w:ind w:firstLine="482" w:firstLineChars="200"/>
        <w:outlineLvl w:val="1"/>
        <w:rPr>
          <w:rFonts w:hint="eastAsia" w:ascii="宋体" w:hAnsi="宋体" w:eastAsia="宋体" w:cs="黑体"/>
          <w:b/>
          <w:bCs/>
          <w:sz w:val="24"/>
          <w:szCs w:val="24"/>
        </w:rPr>
      </w:pPr>
      <w:bookmarkStart w:id="78" w:name="_Toc232355822"/>
      <w:r>
        <w:rPr>
          <w:rFonts w:hint="eastAsia" w:ascii="宋体" w:hAnsi="宋体" w:eastAsia="宋体" w:cs="黑体"/>
          <w:b/>
          <w:bCs/>
          <w:sz w:val="24"/>
          <w:szCs w:val="24"/>
        </w:rPr>
        <w:t>8.1 团队介绍</w:t>
      </w:r>
      <w:bookmarkEnd w:id="78"/>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BA4A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726950C5">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角色</w:t>
            </w:r>
          </w:p>
        </w:tc>
        <w:tc>
          <w:tcPr>
            <w:tcW w:w="2841" w:type="dxa"/>
            <w:vAlign w:val="center"/>
          </w:tcPr>
          <w:p w14:paraId="4D4C7BEB">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核心职责</w:t>
            </w:r>
          </w:p>
        </w:tc>
        <w:tc>
          <w:tcPr>
            <w:tcW w:w="2841" w:type="dxa"/>
            <w:vAlign w:val="center"/>
          </w:tcPr>
          <w:p w14:paraId="0A3AC502">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背景</w:t>
            </w:r>
          </w:p>
        </w:tc>
      </w:tr>
      <w:tr w14:paraId="6F2C4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5C1CE46">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项目负责人</w:t>
            </w:r>
          </w:p>
        </w:tc>
        <w:tc>
          <w:tcPr>
            <w:tcW w:w="2841" w:type="dxa"/>
            <w:vAlign w:val="center"/>
          </w:tcPr>
          <w:p w14:paraId="371339A2">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战略规划、资源整合、项目推进</w:t>
            </w:r>
          </w:p>
        </w:tc>
        <w:tc>
          <w:tcPr>
            <w:tcW w:w="2841" w:type="dxa"/>
            <w:vAlign w:val="center"/>
          </w:tcPr>
          <w:p w14:paraId="7796CC65">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具备编程与算法能力，擅长项目管理</w:t>
            </w:r>
          </w:p>
        </w:tc>
      </w:tr>
      <w:tr w14:paraId="6B926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10F9B78F">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技术组</w:t>
            </w:r>
          </w:p>
        </w:tc>
        <w:tc>
          <w:tcPr>
            <w:tcW w:w="2841" w:type="dxa"/>
            <w:vAlign w:val="center"/>
          </w:tcPr>
          <w:p w14:paraId="570396BB">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系统架构、算法研发、技术决策</w:t>
            </w:r>
          </w:p>
        </w:tc>
        <w:tc>
          <w:tcPr>
            <w:tcW w:w="2841" w:type="dxa"/>
            <w:vAlign w:val="center"/>
          </w:tcPr>
          <w:p w14:paraId="3FBA5D19">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熟悉Python/PyTorch，有嵌入式开发经验</w:t>
            </w:r>
          </w:p>
        </w:tc>
      </w:tr>
      <w:tr w14:paraId="30BDD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6AA3A251">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运营组</w:t>
            </w:r>
          </w:p>
        </w:tc>
        <w:tc>
          <w:tcPr>
            <w:tcW w:w="2841" w:type="dxa"/>
            <w:vAlign w:val="center"/>
          </w:tcPr>
          <w:p w14:paraId="2296EEA5">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市场推广、用户运营、商务合作</w:t>
            </w:r>
          </w:p>
        </w:tc>
        <w:tc>
          <w:tcPr>
            <w:tcW w:w="2841" w:type="dxa"/>
            <w:vAlign w:val="center"/>
          </w:tcPr>
          <w:p w14:paraId="134DF507">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擅长调研与文档撰写，有活动策划经验</w:t>
            </w:r>
          </w:p>
        </w:tc>
      </w:tr>
      <w:tr w14:paraId="23165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7D5A4F30">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产品组</w:t>
            </w:r>
          </w:p>
        </w:tc>
        <w:tc>
          <w:tcPr>
            <w:tcW w:w="2841" w:type="dxa"/>
            <w:vAlign w:val="center"/>
          </w:tcPr>
          <w:p w14:paraId="0C9CE458">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产品设计、用户体验、需求管理</w:t>
            </w:r>
          </w:p>
        </w:tc>
        <w:tc>
          <w:tcPr>
            <w:tcW w:w="2841" w:type="dxa"/>
            <w:vAlign w:val="center"/>
          </w:tcPr>
          <w:p w14:paraId="79F0B9D7">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数理理论扎实，支持硬件与传感器选型</w:t>
            </w:r>
          </w:p>
        </w:tc>
      </w:tr>
      <w:tr w14:paraId="3CCA7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2C1EFC09">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学术顾问</w:t>
            </w:r>
          </w:p>
        </w:tc>
        <w:tc>
          <w:tcPr>
            <w:tcW w:w="2841" w:type="dxa"/>
            <w:vAlign w:val="center"/>
          </w:tcPr>
          <w:p w14:paraId="3BB7A70F">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学术指导、资源对接</w:t>
            </w:r>
          </w:p>
        </w:tc>
        <w:tc>
          <w:tcPr>
            <w:tcW w:w="2841" w:type="dxa"/>
            <w:vAlign w:val="center"/>
          </w:tcPr>
          <w:p w14:paraId="0F90B05C">
            <w:pPr>
              <w:ind w:firstLine="480" w:firstLineChars="200"/>
              <w:jc w:val="center"/>
              <w:rPr>
                <w:rFonts w:hint="eastAsia" w:ascii="宋体" w:hAnsi="宋体" w:eastAsia="宋体" w:cs="宋体"/>
                <w:sz w:val="24"/>
                <w:szCs w:val="24"/>
                <w14:ligatures w14:val="standardContextual"/>
              </w:rPr>
            </w:pPr>
            <w:r>
              <w:rPr>
                <w:rFonts w:hint="eastAsia" w:ascii="宋体" w:hAnsi="宋体" w:eastAsia="宋体" w:cs="宋体"/>
                <w:sz w:val="24"/>
                <w:szCs w:val="24"/>
                <w14:ligatures w14:val="standardContextual"/>
              </w:rPr>
              <w:t>相关领域老师</w:t>
            </w:r>
          </w:p>
        </w:tc>
      </w:tr>
    </w:tbl>
    <w:p w14:paraId="3F75460F">
      <w:pPr>
        <w:ind w:firstLine="480" w:firstLineChars="200"/>
        <w:rPr>
          <w:rFonts w:hint="eastAsia" w:ascii="宋体" w:hAnsi="宋体" w:eastAsia="宋体" w:cs="宋体"/>
          <w:sz w:val="24"/>
          <w:szCs w:val="24"/>
        </w:rPr>
      </w:pPr>
    </w:p>
    <w:p w14:paraId="110D8B1D">
      <w:pPr>
        <w:ind w:firstLine="480" w:firstLineChars="200"/>
        <w:rPr>
          <w:rFonts w:hint="eastAsia" w:ascii="宋体" w:hAnsi="宋体" w:eastAsia="宋体" w:cs="宋体"/>
          <w:sz w:val="24"/>
          <w:szCs w:val="24"/>
        </w:rPr>
      </w:pPr>
    </w:p>
    <w:p w14:paraId="4F9E8CF5">
      <w:pPr>
        <w:pStyle w:val="2"/>
        <w:snapToGrid w:val="0"/>
        <w:spacing w:before="0" w:after="0"/>
        <w:ind w:firstLine="480" w:firstLineChars="200"/>
        <w:rPr>
          <w:rFonts w:hint="eastAsia" w:ascii="宋体" w:hAnsi="宋体" w:eastAsia="宋体"/>
          <w:sz w:val="24"/>
          <w:szCs w:val="24"/>
        </w:rPr>
      </w:pPr>
      <w:bookmarkStart w:id="79" w:name="_Toc232355823"/>
      <w:bookmarkStart w:id="80" w:name="_Toc217653203"/>
    </w:p>
    <w:p w14:paraId="10928067">
      <w:pPr>
        <w:pStyle w:val="52"/>
        <w:rPr>
          <w:rFonts w:hint="eastAsia"/>
        </w:rPr>
      </w:pPr>
    </w:p>
    <w:p w14:paraId="5F54AA63">
      <w:pPr>
        <w:pStyle w:val="52"/>
        <w:rPr>
          <w:rFonts w:hint="eastAsia"/>
        </w:rPr>
      </w:pPr>
    </w:p>
    <w:p w14:paraId="4E196FEE">
      <w:pPr>
        <w:pStyle w:val="52"/>
        <w:rPr>
          <w:rFonts w:hint="eastAsia"/>
        </w:rPr>
      </w:pPr>
      <w:r>
        <w:rPr>
          <w:rFonts w:hint="eastAsia"/>
        </w:rPr>
        <w:t>附录</w:t>
      </w:r>
      <w:bookmarkEnd w:id="79"/>
    </w:p>
    <w:p w14:paraId="40E7E0BE">
      <w:pPr>
        <w:pStyle w:val="2"/>
        <w:snapToGrid w:val="0"/>
        <w:spacing w:before="0" w:after="0"/>
        <w:ind w:firstLine="480" w:firstLineChars="200"/>
        <w:rPr>
          <w:rFonts w:hint="eastAsia" w:ascii="宋体" w:hAnsi="宋体" w:eastAsia="宋体"/>
          <w:sz w:val="24"/>
          <w:szCs w:val="24"/>
        </w:rPr>
      </w:pPr>
      <w:bookmarkStart w:id="81" w:name="_Toc232355824"/>
      <w:r>
        <w:rPr>
          <w:rFonts w:hint="eastAsia" w:ascii="宋体" w:hAnsi="宋体" w:eastAsia="宋体"/>
          <w:sz w:val="24"/>
          <w:szCs w:val="24"/>
        </w:rPr>
        <w:t>专利：</w:t>
      </w:r>
      <w:bookmarkEnd w:id="81"/>
    </w:p>
    <w:p w14:paraId="1AA5A65A">
      <w:pPr>
        <w:pStyle w:val="2"/>
        <w:snapToGrid w:val="0"/>
        <w:spacing w:before="0" w:after="0"/>
        <w:ind w:firstLine="480" w:firstLineChars="200"/>
        <w:rPr>
          <w:rFonts w:hint="eastAsia" w:ascii="宋体" w:hAnsi="宋体" w:eastAsia="宋体"/>
          <w:b/>
          <w:bCs/>
          <w:sz w:val="24"/>
          <w:szCs w:val="24"/>
        </w:rPr>
      </w:pPr>
      <w:bookmarkStart w:id="82" w:name="_Toc232355825"/>
      <w:r>
        <w:rPr>
          <w:rFonts w:hint="eastAsia" w:ascii="宋体" w:hAnsi="宋体" w:eastAsia="宋体"/>
          <w:sz w:val="24"/>
          <w:szCs w:val="24"/>
        </w:rPr>
        <w:t>1.发明专利，吴彦文,曹双双等. 基于多维骨骼时空关系图网络的人体行为快速识别方法及系统,专利号(ZL 2024 1 0052694.7). 授权公告号:CN 118379787 B. 授权公告日2025年2月14日</w:t>
      </w:r>
      <w:bookmarkEnd w:id="80"/>
      <w:bookmarkEnd w:id="82"/>
    </w:p>
    <w:p w14:paraId="5FEB8F8E">
      <w:pPr>
        <w:ind w:firstLine="480" w:firstLineChars="200"/>
        <w:rPr>
          <w:rFonts w:hint="eastAsia" w:ascii="宋体" w:hAnsi="宋体" w:eastAsia="宋体"/>
          <w:sz w:val="24"/>
          <w:szCs w:val="24"/>
        </w:rPr>
      </w:pPr>
      <w:r>
        <w:rPr>
          <w:rFonts w:hint="eastAsia" w:ascii="宋体" w:hAnsi="宋体" w:eastAsia="宋体"/>
          <w:sz w:val="24"/>
          <w:szCs w:val="24"/>
        </w:rPr>
        <w:drawing>
          <wp:inline distT="0" distB="0" distL="114300" distR="114300">
            <wp:extent cx="1382395" cy="1953260"/>
            <wp:effectExtent l="0" t="0" r="825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1382395" cy="1953260"/>
                    </a:xfrm>
                    <a:prstGeom prst="rect">
                      <a:avLst/>
                    </a:prstGeom>
                    <a:noFill/>
                    <a:ln>
                      <a:noFill/>
                    </a:ln>
                  </pic:spPr>
                </pic:pic>
              </a:graphicData>
            </a:graphic>
          </wp:inline>
        </w:drawing>
      </w:r>
    </w:p>
    <w:p w14:paraId="6AEF11A6">
      <w:pPr>
        <w:pStyle w:val="2"/>
        <w:snapToGrid w:val="0"/>
        <w:spacing w:before="0" w:after="0"/>
        <w:ind w:firstLine="480" w:firstLineChars="200"/>
        <w:rPr>
          <w:rFonts w:hint="eastAsia" w:ascii="宋体" w:hAnsi="宋体" w:eastAsia="宋体"/>
          <w:b/>
          <w:bCs/>
          <w:sz w:val="24"/>
          <w:szCs w:val="24"/>
        </w:rPr>
      </w:pPr>
      <w:bookmarkStart w:id="83" w:name="_Toc232355826"/>
      <w:r>
        <w:rPr>
          <w:rFonts w:hint="eastAsia" w:ascii="宋体" w:hAnsi="宋体" w:eastAsia="宋体"/>
          <w:sz w:val="24"/>
          <w:szCs w:val="24"/>
        </w:rPr>
        <w:t>2.</w:t>
      </w:r>
      <w:bookmarkStart w:id="84" w:name="_Toc217653204"/>
      <w:r>
        <w:rPr>
          <w:rFonts w:hint="eastAsia" w:ascii="宋体" w:hAnsi="宋体" w:eastAsia="宋体"/>
          <w:sz w:val="24"/>
          <w:szCs w:val="24"/>
        </w:rPr>
        <w:t>发明专利，吴彦文,葛迪等. —种环境感知网络优化方法和系统,专利号(ZL 202111317504.2).授权公告日2024年5月14日.</w:t>
      </w:r>
      <w:bookmarkEnd w:id="83"/>
      <w:bookmarkEnd w:id="84"/>
    </w:p>
    <w:p w14:paraId="7085100D">
      <w:pPr>
        <w:ind w:firstLine="480" w:firstLineChars="200"/>
        <w:rPr>
          <w:rFonts w:hint="eastAsia" w:ascii="宋体" w:hAnsi="宋体" w:eastAsia="宋体"/>
          <w:sz w:val="24"/>
          <w:szCs w:val="24"/>
        </w:rPr>
      </w:pPr>
      <w:r>
        <w:rPr>
          <w:rFonts w:ascii="宋体" w:hAnsi="宋体" w:eastAsia="宋体"/>
          <w:sz w:val="24"/>
          <w:szCs w:val="24"/>
        </w:rPr>
        <w:drawing>
          <wp:inline distT="0" distB="0" distL="114300" distR="114300">
            <wp:extent cx="1426845" cy="2018665"/>
            <wp:effectExtent l="0" t="0" r="190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1426845" cy="2018665"/>
                    </a:xfrm>
                    <a:prstGeom prst="rect">
                      <a:avLst/>
                    </a:prstGeom>
                    <a:noFill/>
                    <a:ln>
                      <a:noFill/>
                    </a:ln>
                  </pic:spPr>
                </pic:pic>
              </a:graphicData>
            </a:graphic>
          </wp:inline>
        </w:drawing>
      </w:r>
    </w:p>
    <w:p w14:paraId="3BC5C194">
      <w:pPr>
        <w:ind w:firstLine="480" w:firstLineChars="200"/>
        <w:rPr>
          <w:rFonts w:hint="eastAsia" w:ascii="宋体" w:hAnsi="宋体" w:eastAsia="宋体"/>
          <w:sz w:val="24"/>
          <w:szCs w:val="24"/>
        </w:rPr>
      </w:pPr>
      <w:r>
        <w:rPr>
          <w:rFonts w:hint="eastAsia" w:ascii="宋体" w:hAnsi="宋体" w:eastAsia="宋体"/>
          <w:sz w:val="24"/>
          <w:szCs w:val="24"/>
        </w:rPr>
        <w:t>3.</w:t>
      </w:r>
      <w:bookmarkStart w:id="85" w:name="_Toc217653208"/>
      <w:r>
        <w:rPr>
          <w:rFonts w:hint="eastAsia" w:ascii="宋体" w:hAnsi="宋体" w:eastAsia="宋体"/>
          <w:sz w:val="24"/>
          <w:szCs w:val="24"/>
        </w:rPr>
        <w:t>实用新型.吴彦文;李梦鸽;马艳梅;刘智;葛迪;褚雯琪;曹双双. 一种运动陪伴型电子宠物系统，专利号ZL202122243794.2). 2022年5月31日.（证书号16615961）</w:t>
      </w:r>
      <w:bookmarkEnd w:id="85"/>
    </w:p>
    <w:p w14:paraId="2CA0122C">
      <w:pPr>
        <w:ind w:firstLine="480" w:firstLineChars="200"/>
        <w:rPr>
          <w:rFonts w:hint="eastAsia" w:ascii="宋体" w:hAnsi="宋体" w:eastAsia="宋体"/>
          <w:sz w:val="24"/>
          <w:szCs w:val="24"/>
        </w:rPr>
      </w:pPr>
      <w:r>
        <w:rPr>
          <w:rFonts w:ascii="宋体" w:hAnsi="宋体" w:eastAsia="宋体"/>
          <w:sz w:val="24"/>
          <w:szCs w:val="24"/>
        </w:rPr>
        <w:drawing>
          <wp:inline distT="0" distB="0" distL="114300" distR="114300">
            <wp:extent cx="1473200" cy="2084705"/>
            <wp:effectExtent l="0" t="0" r="3175"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
                    <a:stretch>
                      <a:fillRect/>
                    </a:stretch>
                  </pic:blipFill>
                  <pic:spPr>
                    <a:xfrm>
                      <a:off x="0" y="0"/>
                      <a:ext cx="1473200" cy="2084705"/>
                    </a:xfrm>
                    <a:prstGeom prst="rect">
                      <a:avLst/>
                    </a:prstGeom>
                    <a:noFill/>
                    <a:ln>
                      <a:noFill/>
                    </a:ln>
                  </pic:spPr>
                </pic:pic>
              </a:graphicData>
            </a:graphic>
          </wp:inline>
        </w:drawing>
      </w:r>
    </w:p>
    <w:p w14:paraId="13E5FFCC">
      <w:pPr>
        <w:ind w:firstLine="480" w:firstLineChars="200"/>
        <w:rPr>
          <w:rFonts w:hint="eastAsia" w:ascii="宋体" w:hAnsi="宋体" w:eastAsia="宋体"/>
          <w:sz w:val="24"/>
          <w:szCs w:val="24"/>
        </w:rPr>
      </w:pPr>
    </w:p>
    <w:p w14:paraId="7992F877">
      <w:pPr>
        <w:rPr>
          <w:rFonts w:hint="eastAsia" w:ascii="宋体" w:hAnsi="宋体" w:eastAsia="宋体"/>
          <w:sz w:val="24"/>
          <w:szCs w:val="24"/>
        </w:rPr>
      </w:pPr>
    </w:p>
    <w:p w14:paraId="1652F8C0">
      <w:pPr>
        <w:pStyle w:val="2"/>
        <w:snapToGrid w:val="0"/>
        <w:spacing w:before="0" w:after="0" w:line="300" w:lineRule="auto"/>
        <w:ind w:firstLine="480" w:firstLineChars="200"/>
        <w:rPr>
          <w:rFonts w:hint="eastAsia" w:ascii="宋体" w:hAnsi="宋体" w:eastAsia="宋体"/>
          <w:b/>
          <w:bCs/>
          <w:sz w:val="24"/>
          <w:szCs w:val="24"/>
        </w:rPr>
      </w:pPr>
      <w:bookmarkStart w:id="86" w:name="_Toc232355827"/>
      <w:r>
        <w:rPr>
          <w:rFonts w:hint="eastAsia" w:ascii="宋体" w:hAnsi="宋体" w:eastAsia="宋体" w:cs="Times New Roman"/>
          <w:sz w:val="24"/>
          <w:szCs w:val="24"/>
        </w:rPr>
        <w:t>4.</w:t>
      </w:r>
      <w:bookmarkStart w:id="87" w:name="_Toc217653213"/>
      <w:r>
        <w:rPr>
          <w:rFonts w:hint="eastAsia" w:ascii="宋体" w:hAnsi="宋体" w:eastAsia="宋体" w:cs="Times New Roman"/>
          <w:sz w:val="24"/>
          <w:szCs w:val="24"/>
        </w:rPr>
        <w:t>实用新型. 吴彦文、舒武静、凌毓涛、殷丹青、张海峰、龚自禄、杨超宝、江杰、江相晖. 一种基于RFID的人体运动负荷监测系统(申请号201320044991.4，专利号ZL201320044991.4). 2013年5月24日.</w:t>
      </w:r>
      <w:bookmarkEnd w:id="86"/>
      <w:bookmarkEnd w:id="87"/>
    </w:p>
    <w:p w14:paraId="081D999F">
      <w:pPr>
        <w:ind w:firstLine="480" w:firstLineChars="200"/>
        <w:rPr>
          <w:rFonts w:hint="eastAsia" w:ascii="宋体" w:hAnsi="宋体" w:eastAsia="宋体"/>
          <w:sz w:val="24"/>
          <w:szCs w:val="24"/>
        </w:rPr>
      </w:pPr>
      <w:r>
        <w:rPr>
          <w:rFonts w:ascii="宋体" w:hAnsi="宋体" w:eastAsia="宋体"/>
          <w:sz w:val="24"/>
          <w:szCs w:val="24"/>
        </w:rPr>
        <w:drawing>
          <wp:inline distT="0" distB="0" distL="114300" distR="114300">
            <wp:extent cx="1708785" cy="2302510"/>
            <wp:effectExtent l="0" t="0" r="5715" b="2540"/>
            <wp:docPr id="1668942335" name="图片 1668942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42335" name="图片 1668942335"/>
                    <pic:cNvPicPr>
                      <a:picLocks noChangeAspect="1"/>
                    </pic:cNvPicPr>
                  </pic:nvPicPr>
                  <pic:blipFill>
                    <a:blip r:embed="rId16"/>
                    <a:stretch>
                      <a:fillRect/>
                    </a:stretch>
                  </pic:blipFill>
                  <pic:spPr>
                    <a:xfrm>
                      <a:off x="0" y="0"/>
                      <a:ext cx="1708785" cy="2302510"/>
                    </a:xfrm>
                    <a:prstGeom prst="rect">
                      <a:avLst/>
                    </a:prstGeom>
                    <a:noFill/>
                    <a:ln>
                      <a:noFill/>
                    </a:ln>
                  </pic:spPr>
                </pic:pic>
              </a:graphicData>
            </a:graphic>
          </wp:inline>
        </w:drawing>
      </w:r>
    </w:p>
    <w:p w14:paraId="729B2141">
      <w:pPr>
        <w:pStyle w:val="2"/>
        <w:snapToGrid w:val="0"/>
        <w:spacing w:before="0" w:after="0" w:line="300" w:lineRule="auto"/>
        <w:ind w:firstLine="480" w:firstLineChars="200"/>
        <w:rPr>
          <w:rFonts w:hint="eastAsia" w:ascii="宋体" w:hAnsi="宋体" w:eastAsia="宋体"/>
          <w:sz w:val="24"/>
          <w:szCs w:val="24"/>
          <w:lang w:val="de-DE"/>
        </w:rPr>
      </w:pPr>
      <w:bookmarkStart w:id="88" w:name="_Toc232355828"/>
      <w:r>
        <w:rPr>
          <w:rFonts w:hint="eastAsia" w:ascii="宋体" w:hAnsi="宋体" w:eastAsia="宋体" w:cs="Times New Roman"/>
          <w:sz w:val="24"/>
          <w:szCs w:val="24"/>
        </w:rPr>
        <w:t>5.</w:t>
      </w:r>
      <w:bookmarkStart w:id="89" w:name="_Toc217653214"/>
      <w:r>
        <w:rPr>
          <w:rFonts w:hint="eastAsia" w:ascii="宋体" w:hAnsi="宋体" w:eastAsia="宋体" w:cs="Times New Roman"/>
          <w:sz w:val="24"/>
          <w:szCs w:val="24"/>
        </w:rPr>
        <w:t>发明专利</w:t>
      </w:r>
      <w:r>
        <w:rPr>
          <w:rFonts w:hint="eastAsia" w:ascii="宋体" w:hAnsi="宋体" w:eastAsia="宋体" w:cs="Times New Roman"/>
          <w:sz w:val="24"/>
          <w:szCs w:val="24"/>
          <w:lang w:val="de-DE"/>
        </w:rPr>
        <w:t>. 一种基于面部表情识别的学习疲劳识别干预方法（200910062862.6）. 2009年6月26日。</w:t>
      </w:r>
      <w:bookmarkEnd w:id="88"/>
      <w:bookmarkEnd w:id="89"/>
    </w:p>
    <w:p w14:paraId="4457B92B">
      <w:pPr>
        <w:ind w:firstLine="480" w:firstLineChars="200"/>
        <w:rPr>
          <w:rFonts w:hint="eastAsia" w:ascii="宋体" w:hAnsi="宋体" w:eastAsia="宋体"/>
          <w:sz w:val="24"/>
          <w:szCs w:val="24"/>
          <w:lang w:val="de-DE"/>
        </w:rPr>
      </w:pPr>
      <w:r>
        <w:rPr>
          <w:rFonts w:ascii="宋体" w:hAnsi="宋体" w:eastAsia="宋体"/>
          <w:sz w:val="24"/>
          <w:szCs w:val="24"/>
          <w:lang w:val="de-DE"/>
        </w:rPr>
        <w:drawing>
          <wp:inline distT="0" distB="0" distL="114300" distR="114300">
            <wp:extent cx="1705610" cy="2411730"/>
            <wp:effectExtent l="0" t="0" r="8890" b="7620"/>
            <wp:docPr id="1263181283" name="图片 1263181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81283" name="图片 1263181283"/>
                    <pic:cNvPicPr>
                      <a:picLocks noChangeAspect="1"/>
                    </pic:cNvPicPr>
                  </pic:nvPicPr>
                  <pic:blipFill>
                    <a:blip r:embed="rId17"/>
                    <a:stretch>
                      <a:fillRect/>
                    </a:stretch>
                  </pic:blipFill>
                  <pic:spPr>
                    <a:xfrm>
                      <a:off x="0" y="0"/>
                      <a:ext cx="1705610" cy="2411730"/>
                    </a:xfrm>
                    <a:prstGeom prst="rect">
                      <a:avLst/>
                    </a:prstGeom>
                    <a:noFill/>
                    <a:ln>
                      <a:noFill/>
                    </a:ln>
                  </pic:spPr>
                </pic:pic>
              </a:graphicData>
            </a:graphic>
          </wp:inline>
        </w:drawing>
      </w:r>
    </w:p>
    <w:p w14:paraId="74677884">
      <w:pPr>
        <w:rPr>
          <w:rFonts w:hint="eastAsia" w:ascii="宋体" w:hAnsi="宋体" w:eastAsia="宋体"/>
          <w:sz w:val="24"/>
          <w:szCs w:val="24"/>
          <w:lang w:val="de-DE"/>
        </w:rPr>
      </w:pPr>
    </w:p>
    <w:p w14:paraId="40874E3F">
      <w:pPr>
        <w:ind w:firstLine="482" w:firstLineChars="200"/>
        <w:rPr>
          <w:rFonts w:hint="eastAsia" w:ascii="宋体" w:hAnsi="宋体" w:eastAsia="宋体"/>
          <w:b/>
          <w:bCs/>
          <w:sz w:val="24"/>
          <w:szCs w:val="24"/>
        </w:rPr>
      </w:pPr>
    </w:p>
    <w:p w14:paraId="21D1AF1D">
      <w:pPr>
        <w:ind w:firstLine="482" w:firstLineChars="200"/>
        <w:rPr>
          <w:rFonts w:hint="eastAsia" w:ascii="宋体" w:hAnsi="宋体" w:eastAsia="宋体"/>
          <w:b/>
          <w:bCs/>
          <w:sz w:val="24"/>
          <w:szCs w:val="24"/>
        </w:rPr>
      </w:pPr>
    </w:p>
    <w:p w14:paraId="0437B86A">
      <w:pPr>
        <w:ind w:firstLine="482" w:firstLineChars="200"/>
        <w:rPr>
          <w:rFonts w:hint="eastAsia" w:ascii="宋体" w:hAnsi="宋体" w:eastAsia="宋体"/>
          <w:b/>
          <w:bCs/>
          <w:sz w:val="24"/>
          <w:szCs w:val="24"/>
        </w:rPr>
      </w:pPr>
    </w:p>
    <w:p w14:paraId="68AA7BEB">
      <w:pPr>
        <w:ind w:firstLine="482" w:firstLineChars="200"/>
        <w:rPr>
          <w:rFonts w:hint="eastAsia" w:ascii="宋体" w:hAnsi="宋体" w:eastAsia="宋体"/>
          <w:b/>
          <w:bCs/>
          <w:sz w:val="24"/>
          <w:szCs w:val="24"/>
        </w:rPr>
      </w:pPr>
    </w:p>
    <w:p w14:paraId="6F60D629">
      <w:pPr>
        <w:ind w:firstLine="482" w:firstLineChars="200"/>
        <w:rPr>
          <w:rFonts w:hint="eastAsia" w:ascii="宋体" w:hAnsi="宋体" w:eastAsia="宋体"/>
          <w:b/>
          <w:bCs/>
          <w:sz w:val="24"/>
          <w:szCs w:val="24"/>
        </w:rPr>
      </w:pPr>
    </w:p>
    <w:p w14:paraId="7104E365">
      <w:pPr>
        <w:ind w:firstLine="482" w:firstLineChars="200"/>
        <w:rPr>
          <w:rFonts w:hint="eastAsia" w:ascii="宋体" w:hAnsi="宋体" w:eastAsia="宋体"/>
          <w:b/>
          <w:bCs/>
          <w:sz w:val="24"/>
          <w:szCs w:val="24"/>
        </w:rPr>
      </w:pPr>
    </w:p>
    <w:p w14:paraId="6394874F">
      <w:pPr>
        <w:ind w:firstLine="482" w:firstLineChars="200"/>
        <w:rPr>
          <w:rFonts w:hint="eastAsia" w:ascii="宋体" w:hAnsi="宋体" w:eastAsia="宋体"/>
          <w:b/>
          <w:bCs/>
          <w:sz w:val="24"/>
          <w:szCs w:val="24"/>
        </w:rPr>
      </w:pPr>
    </w:p>
    <w:p w14:paraId="5417D803">
      <w:pPr>
        <w:ind w:firstLine="482" w:firstLineChars="200"/>
        <w:rPr>
          <w:rFonts w:hint="eastAsia" w:ascii="宋体" w:hAnsi="宋体" w:eastAsia="宋体"/>
          <w:b/>
          <w:bCs/>
          <w:sz w:val="24"/>
          <w:szCs w:val="24"/>
        </w:rPr>
      </w:pPr>
    </w:p>
    <w:p w14:paraId="31C6BDA9">
      <w:pPr>
        <w:ind w:firstLine="482" w:firstLineChars="200"/>
        <w:rPr>
          <w:rFonts w:hint="eastAsia" w:ascii="宋体" w:hAnsi="宋体" w:eastAsia="宋体"/>
          <w:b/>
          <w:bCs/>
          <w:sz w:val="24"/>
          <w:szCs w:val="24"/>
        </w:rPr>
      </w:pPr>
    </w:p>
    <w:p w14:paraId="3066DCAE">
      <w:pPr>
        <w:ind w:firstLine="482" w:firstLineChars="200"/>
        <w:rPr>
          <w:rFonts w:hint="eastAsia" w:ascii="宋体" w:hAnsi="宋体" w:eastAsia="宋体"/>
          <w:b/>
          <w:bCs/>
          <w:sz w:val="24"/>
          <w:szCs w:val="24"/>
        </w:rPr>
      </w:pPr>
    </w:p>
    <w:p w14:paraId="752CC258">
      <w:pPr>
        <w:ind w:firstLine="482" w:firstLineChars="200"/>
        <w:rPr>
          <w:rFonts w:hint="eastAsia" w:ascii="宋体" w:hAnsi="宋体" w:eastAsia="宋体"/>
          <w:b/>
          <w:bCs/>
          <w:sz w:val="24"/>
          <w:szCs w:val="24"/>
        </w:rPr>
      </w:pPr>
    </w:p>
    <w:p w14:paraId="5128A094">
      <w:pPr>
        <w:ind w:firstLine="482" w:firstLineChars="200"/>
        <w:rPr>
          <w:rFonts w:hint="eastAsia" w:ascii="宋体" w:hAnsi="宋体" w:eastAsia="宋体"/>
          <w:b/>
          <w:bCs/>
          <w:sz w:val="24"/>
          <w:szCs w:val="24"/>
        </w:rPr>
      </w:pPr>
      <w:r>
        <w:rPr>
          <w:rFonts w:hint="eastAsia" w:ascii="宋体" w:hAnsi="宋体" w:eastAsia="宋体"/>
          <w:b/>
          <w:bCs/>
          <w:sz w:val="24"/>
          <w:szCs w:val="24"/>
        </w:rPr>
        <w:t>软著：</w:t>
      </w:r>
    </w:p>
    <w:p w14:paraId="1EA53C4A">
      <w:pPr>
        <w:pStyle w:val="2"/>
        <w:snapToGrid w:val="0"/>
        <w:spacing w:before="0" w:after="0" w:line="300" w:lineRule="auto"/>
        <w:ind w:firstLine="480" w:firstLineChars="200"/>
        <w:rPr>
          <w:rFonts w:hint="eastAsia" w:ascii="宋体" w:hAnsi="宋体" w:eastAsia="宋体"/>
          <w:b/>
          <w:bCs/>
          <w:sz w:val="24"/>
          <w:szCs w:val="24"/>
          <w:lang w:val="de-DE"/>
        </w:rPr>
      </w:pPr>
      <w:bookmarkStart w:id="90" w:name="_Toc227962251"/>
      <w:bookmarkStart w:id="91" w:name="_Toc232355829"/>
      <w:r>
        <w:rPr>
          <w:rFonts w:hint="eastAsia" w:ascii="宋体" w:hAnsi="宋体" w:eastAsia="宋体" w:cs="Times New Roman"/>
          <w:sz w:val="24"/>
          <w:szCs w:val="24"/>
        </w:rPr>
        <w:t>1.</w:t>
      </w:r>
      <w:r>
        <w:rPr>
          <w:rFonts w:hint="eastAsia" w:ascii="宋体" w:hAnsi="宋体" w:eastAsia="宋体" w:cs="Times New Roman"/>
          <w:sz w:val="24"/>
          <w:szCs w:val="24"/>
          <w:lang w:val="de-DE"/>
        </w:rPr>
        <w:t>计算机软件《智能微表情识别检测系统[简称：智能表情识别系统]》.著作权登记号为2026SR0445991，证书编号为“软著登字第17660272号”，2026年3月17号。</w:t>
      </w:r>
      <w:bookmarkEnd w:id="90"/>
      <w:bookmarkEnd w:id="91"/>
    </w:p>
    <w:p w14:paraId="44069349">
      <w:pPr>
        <w:ind w:firstLine="480" w:firstLineChars="200"/>
        <w:rPr>
          <w:rFonts w:hint="eastAsia" w:ascii="宋体" w:hAnsi="宋体" w:eastAsia="宋体"/>
          <w:sz w:val="24"/>
          <w:szCs w:val="24"/>
        </w:rPr>
      </w:pPr>
      <w:r>
        <w:rPr>
          <w:rFonts w:hint="eastAsia" w:ascii="宋体" w:hAnsi="宋体" w:eastAsia="宋体"/>
          <w:sz w:val="24"/>
          <w:szCs w:val="24"/>
        </w:rPr>
        <w:drawing>
          <wp:inline distT="0" distB="0" distL="0" distR="0">
            <wp:extent cx="1454785" cy="1970405"/>
            <wp:effectExtent l="0" t="0" r="2540" b="1270"/>
            <wp:docPr id="1778935878" name="图片 1778935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35878" name="图片 177893587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454785" cy="1970405"/>
                    </a:xfrm>
                    <a:prstGeom prst="rect">
                      <a:avLst/>
                    </a:prstGeom>
                    <a:noFill/>
                    <a:ln>
                      <a:noFill/>
                    </a:ln>
                  </pic:spPr>
                </pic:pic>
              </a:graphicData>
            </a:graphic>
          </wp:inline>
        </w:drawing>
      </w:r>
    </w:p>
    <w:p w14:paraId="4B4D3E65">
      <w:pPr>
        <w:pStyle w:val="2"/>
        <w:snapToGrid w:val="0"/>
        <w:spacing w:before="0" w:after="0" w:line="300" w:lineRule="auto"/>
        <w:ind w:firstLine="480" w:firstLineChars="200"/>
        <w:rPr>
          <w:rFonts w:hint="eastAsia" w:ascii="宋体" w:hAnsi="宋体" w:eastAsia="宋体"/>
          <w:sz w:val="24"/>
          <w:szCs w:val="24"/>
        </w:rPr>
      </w:pPr>
      <w:bookmarkStart w:id="92" w:name="_Toc232355830"/>
      <w:r>
        <w:rPr>
          <w:rFonts w:hint="eastAsia" w:ascii="宋体" w:hAnsi="宋体" w:eastAsia="宋体" w:cs="Times New Roman"/>
          <w:sz w:val="24"/>
          <w:szCs w:val="24"/>
        </w:rPr>
        <w:t>2.</w:t>
      </w:r>
      <w:bookmarkStart w:id="93" w:name="_Toc227962252"/>
      <w:r>
        <w:rPr>
          <w:rFonts w:hint="eastAsia" w:ascii="宋体" w:hAnsi="宋体" w:eastAsia="宋体" w:cs="Times New Roman"/>
          <w:sz w:val="24"/>
          <w:szCs w:val="24"/>
          <w:lang w:val="de-DE"/>
        </w:rPr>
        <w:t>计算机软件《绘情慧识：手绘图片情感识别与管理信息系统》.著作权登记号为2026SR0184868，证书编号为“软著登字第17399149号”，2026年1月29号。</w:t>
      </w:r>
      <w:bookmarkEnd w:id="92"/>
      <w:bookmarkEnd w:id="93"/>
    </w:p>
    <w:p w14:paraId="6D5F9197">
      <w:pPr>
        <w:ind w:firstLine="480" w:firstLineChars="200"/>
        <w:rPr>
          <w:rFonts w:hint="eastAsia" w:ascii="宋体" w:hAnsi="宋体" w:eastAsia="宋体"/>
          <w:sz w:val="24"/>
          <w:szCs w:val="24"/>
        </w:rPr>
      </w:pPr>
      <w:r>
        <w:rPr>
          <w:rFonts w:ascii="宋体" w:hAnsi="宋体" w:eastAsia="宋体"/>
          <w:sz w:val="24"/>
          <w:szCs w:val="24"/>
        </w:rPr>
        <w:drawing>
          <wp:inline distT="0" distB="0" distL="0" distR="0">
            <wp:extent cx="1466850" cy="1986280"/>
            <wp:effectExtent l="0" t="0" r="0"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466850" cy="1986280"/>
                    </a:xfrm>
                    <a:prstGeom prst="rect">
                      <a:avLst/>
                    </a:prstGeom>
                    <a:noFill/>
                    <a:ln>
                      <a:noFill/>
                    </a:ln>
                  </pic:spPr>
                </pic:pic>
              </a:graphicData>
            </a:graphic>
          </wp:inline>
        </w:drawing>
      </w:r>
    </w:p>
    <w:p w14:paraId="06613316">
      <w:pPr>
        <w:pStyle w:val="2"/>
        <w:snapToGrid w:val="0"/>
        <w:spacing w:before="0" w:after="0" w:line="300" w:lineRule="auto"/>
        <w:ind w:firstLine="480" w:firstLineChars="200"/>
        <w:rPr>
          <w:rFonts w:hint="eastAsia" w:ascii="宋体" w:hAnsi="宋体" w:eastAsia="宋体"/>
          <w:sz w:val="24"/>
          <w:szCs w:val="24"/>
        </w:rPr>
      </w:pPr>
      <w:bookmarkStart w:id="94" w:name="_Toc232355831"/>
      <w:r>
        <w:rPr>
          <w:rFonts w:hint="eastAsia" w:ascii="宋体" w:hAnsi="宋体" w:eastAsia="宋体" w:cs="Times New Roman"/>
          <w:sz w:val="24"/>
          <w:szCs w:val="24"/>
        </w:rPr>
        <w:t>3.</w:t>
      </w:r>
      <w:bookmarkStart w:id="95" w:name="_Toc227962255"/>
      <w:r>
        <w:rPr>
          <w:rFonts w:hint="eastAsia" w:ascii="宋体" w:hAnsi="宋体" w:eastAsia="宋体" w:cs="Times New Roman"/>
          <w:sz w:val="24"/>
          <w:szCs w:val="24"/>
          <w:lang w:val="de-DE"/>
        </w:rPr>
        <w:t>计算机软件《AI情感面试-面试视频情感识别系统》.著作权登记号为2023SR1608406，证书编号为“软著登字第12195579号”，2023年12月12号。</w:t>
      </w:r>
      <w:bookmarkEnd w:id="94"/>
      <w:bookmarkEnd w:id="95"/>
    </w:p>
    <w:p w14:paraId="59F195C1">
      <w:pPr>
        <w:ind w:firstLine="480" w:firstLineChars="200"/>
        <w:rPr>
          <w:rFonts w:hint="eastAsia" w:ascii="宋体" w:hAnsi="宋体" w:eastAsia="宋体"/>
          <w:sz w:val="24"/>
          <w:szCs w:val="24"/>
        </w:rPr>
      </w:pPr>
      <w:r>
        <w:rPr>
          <w:rFonts w:ascii="宋体" w:hAnsi="宋体" w:eastAsia="宋体"/>
          <w:sz w:val="24"/>
          <w:szCs w:val="24"/>
        </w:rPr>
        <w:drawing>
          <wp:inline distT="0" distB="0" distL="0" distR="0">
            <wp:extent cx="1525905" cy="2084705"/>
            <wp:effectExtent l="0" t="0" r="7620"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0"/>
                    <a:stretch>
                      <a:fillRect/>
                    </a:stretch>
                  </pic:blipFill>
                  <pic:spPr>
                    <a:xfrm>
                      <a:off x="0" y="0"/>
                      <a:ext cx="1525905" cy="2084705"/>
                    </a:xfrm>
                    <a:prstGeom prst="rect">
                      <a:avLst/>
                    </a:prstGeom>
                  </pic:spPr>
                </pic:pic>
              </a:graphicData>
            </a:graphic>
          </wp:inline>
        </w:drawing>
      </w:r>
    </w:p>
    <w:p w14:paraId="240AE0E3">
      <w:pPr>
        <w:ind w:firstLine="480" w:firstLineChars="200"/>
        <w:rPr>
          <w:rFonts w:hint="eastAsia" w:ascii="宋体" w:hAnsi="宋体" w:eastAsia="宋体"/>
          <w:sz w:val="24"/>
          <w:szCs w:val="24"/>
        </w:rPr>
      </w:pPr>
    </w:p>
    <w:p w14:paraId="50621ACA">
      <w:pPr>
        <w:pStyle w:val="2"/>
        <w:snapToGrid w:val="0"/>
        <w:spacing w:before="0" w:after="0" w:line="300" w:lineRule="auto"/>
        <w:ind w:firstLine="480" w:firstLineChars="200"/>
        <w:rPr>
          <w:rFonts w:hint="eastAsia" w:ascii="宋体" w:hAnsi="宋体" w:eastAsia="宋体"/>
          <w:sz w:val="24"/>
          <w:szCs w:val="24"/>
        </w:rPr>
      </w:pPr>
      <w:bookmarkStart w:id="96" w:name="_Toc232355832"/>
      <w:r>
        <w:rPr>
          <w:rFonts w:hint="eastAsia" w:ascii="宋体" w:hAnsi="宋体" w:eastAsia="宋体" w:cs="Times New Roman"/>
          <w:sz w:val="24"/>
          <w:szCs w:val="24"/>
        </w:rPr>
        <w:t>4.</w:t>
      </w:r>
      <w:bookmarkStart w:id="97" w:name="_Toc227962266"/>
      <w:r>
        <w:rPr>
          <w:rFonts w:hint="eastAsia" w:ascii="宋体" w:hAnsi="宋体" w:eastAsia="宋体" w:cs="Times New Roman"/>
          <w:sz w:val="24"/>
          <w:szCs w:val="24"/>
          <w:lang w:val="de-DE"/>
        </w:rPr>
        <w:t>计算机软件《“i运动”-基于游戏化激励机制的AI学伴软件》.著作权登记号为2021SR1688709，证书编号为“软著登字第8411335号”，2021年11月10号。</w:t>
      </w:r>
      <w:bookmarkEnd w:id="96"/>
      <w:bookmarkEnd w:id="97"/>
    </w:p>
    <w:p w14:paraId="5EAA854F">
      <w:pPr>
        <w:ind w:firstLine="480" w:firstLineChars="200"/>
        <w:rPr>
          <w:rFonts w:hint="eastAsia" w:ascii="宋体" w:hAnsi="宋体" w:eastAsia="宋体"/>
          <w:sz w:val="24"/>
          <w:szCs w:val="24"/>
        </w:rPr>
      </w:pPr>
      <w:r>
        <w:rPr>
          <w:rFonts w:ascii="宋体" w:hAnsi="宋体" w:eastAsia="宋体"/>
          <w:sz w:val="24"/>
          <w:szCs w:val="24"/>
        </w:rPr>
        <w:drawing>
          <wp:inline distT="0" distB="0" distL="0" distR="0">
            <wp:extent cx="1503680" cy="2127250"/>
            <wp:effectExtent l="0" t="0" r="1270"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flipH="1">
                      <a:off x="0" y="0"/>
                      <a:ext cx="1503680" cy="2127250"/>
                    </a:xfrm>
                    <a:prstGeom prst="rect">
                      <a:avLst/>
                    </a:prstGeom>
                    <a:noFill/>
                    <a:ln>
                      <a:noFill/>
                    </a:ln>
                  </pic:spPr>
                </pic:pic>
              </a:graphicData>
            </a:graphic>
          </wp:inline>
        </w:drawing>
      </w:r>
    </w:p>
    <w:p w14:paraId="4EC8FDF1">
      <w:pPr>
        <w:ind w:firstLine="482" w:firstLineChars="200"/>
        <w:rPr>
          <w:rFonts w:hint="eastAsia" w:ascii="宋体" w:hAnsi="宋体" w:eastAsia="宋体"/>
          <w:b/>
          <w:bCs/>
          <w:sz w:val="24"/>
          <w:szCs w:val="24"/>
        </w:rPr>
      </w:pPr>
    </w:p>
    <w:p w14:paraId="0FC2E304">
      <w:pPr>
        <w:ind w:firstLine="482" w:firstLineChars="200"/>
        <w:rPr>
          <w:rFonts w:hint="eastAsia" w:ascii="宋体" w:hAnsi="宋体" w:eastAsia="宋体"/>
          <w:b/>
          <w:bCs/>
          <w:sz w:val="24"/>
          <w:szCs w:val="24"/>
        </w:rPr>
      </w:pPr>
      <w:r>
        <w:rPr>
          <w:rFonts w:hint="eastAsia" w:ascii="宋体" w:hAnsi="宋体" w:eastAsia="宋体"/>
          <w:b/>
          <w:bCs/>
          <w:sz w:val="24"/>
          <w:szCs w:val="24"/>
        </w:rPr>
        <w:t>论文：</w:t>
      </w:r>
    </w:p>
    <w:p w14:paraId="428BC979">
      <w:pPr>
        <w:ind w:firstLine="480" w:firstLineChars="200"/>
        <w:rPr>
          <w:rFonts w:hint="eastAsia" w:ascii="宋体" w:hAnsi="宋体" w:eastAsia="宋体"/>
          <w:sz w:val="24"/>
          <w:szCs w:val="24"/>
        </w:rPr>
      </w:pPr>
      <w:r>
        <w:rPr>
          <w:rFonts w:hint="eastAsia" w:ascii="宋体" w:hAnsi="宋体" w:eastAsia="宋体"/>
          <w:sz w:val="24"/>
          <w:szCs w:val="24"/>
        </w:rPr>
        <w:t>1.</w:t>
      </w:r>
      <w:r>
        <w:rPr>
          <w:rFonts w:ascii="宋体" w:hAnsi="宋体" w:eastAsia="宋体"/>
          <w:sz w:val="24"/>
          <w:szCs w:val="24"/>
        </w:rPr>
        <w:t>曹双双，吴彦文(通信作者)， SenCounter: Towards category-agnostic action counting in open sensor sequences. [J]. INFORMATION FUSION  118 (2025) 102957. SCI 1区：期刊影响因子14.8，出版时间2025-1-25. DOI:10.1016/j.inffus.2025.102957</w:t>
      </w:r>
    </w:p>
    <w:p w14:paraId="07BD0991">
      <w:pPr>
        <w:spacing w:line="480" w:lineRule="exact"/>
        <w:ind w:firstLine="480" w:firstLineChars="200"/>
        <w:rPr>
          <w:rFonts w:hint="eastAsia" w:ascii="宋体" w:hAnsi="宋体" w:eastAsia="宋体"/>
          <w:sz w:val="24"/>
          <w:szCs w:val="24"/>
        </w:rPr>
      </w:pPr>
    </w:p>
    <w:p w14:paraId="7A24B4A6">
      <w:pPr>
        <w:spacing w:line="360" w:lineRule="auto"/>
        <w:ind w:firstLine="480" w:firstLineChars="200"/>
        <w:rPr>
          <w:rFonts w:hint="eastAsia" w:ascii="宋体" w:hAnsi="宋体" w:eastAsia="宋体"/>
          <w:sz w:val="24"/>
          <w:szCs w:val="24"/>
        </w:rPr>
      </w:pPr>
    </w:p>
    <w:p w14:paraId="6D332E40">
      <w:pPr>
        <w:spacing w:line="360" w:lineRule="auto"/>
        <w:ind w:firstLine="480" w:firstLineChars="200"/>
        <w:rPr>
          <w:rFonts w:hint="eastAsia" w:ascii="宋体" w:hAnsi="宋体" w:eastAsia="宋体"/>
          <w:sz w:val="24"/>
          <w:szCs w:val="24"/>
        </w:rPr>
      </w:pPr>
    </w:p>
    <w:p w14:paraId="5F824775">
      <w:pPr>
        <w:spacing w:line="360" w:lineRule="auto"/>
        <w:ind w:firstLine="480" w:firstLineChars="200"/>
        <w:rPr>
          <w:rFonts w:hint="eastAsia" w:ascii="宋体" w:hAnsi="宋体" w:eastAsia="宋体"/>
          <w:sz w:val="24"/>
          <w:szCs w:val="24"/>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pgNumType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FD89489A-9EE3-4D18-8D4A-FD1EE5A750D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embedRegular r:id="rId2" w:fontKey="{1F282071-B573-443A-9171-7408ED734909}"/>
  </w:font>
  <w:font w:name="等线 Light">
    <w:panose1 w:val="02010600030101010101"/>
    <w:charset w:val="86"/>
    <w:family w:val="auto"/>
    <w:pitch w:val="default"/>
    <w:sig w:usb0="A00002BF" w:usb1="38CF7CFA" w:usb2="00000016" w:usb3="00000000" w:csb0="0004000F" w:csb1="00000000"/>
  </w:font>
  <w:font w:name="楷体_GB2312">
    <w:altName w:val="楷体_GB2312"/>
    <w:panose1 w:val="00000000000000000000"/>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_GB2312"/>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embedRegular r:id="rId3" w:fontKey="{2215F9CA-F7B7-4521-946C-435EF5EFBF82}"/>
  </w:font>
  <w:font w:name="Segoe UI Emoji">
    <w:panose1 w:val="020B0502040204020203"/>
    <w:charset w:val="00"/>
    <w:family w:val="swiss"/>
    <w:pitch w:val="default"/>
    <w:sig w:usb0="00000001" w:usb1="02000000" w:usb2="08000000" w:usb3="00000000" w:csb0="00000001" w:csb1="00000000"/>
    <w:embedRegular r:id="rId4" w:fontKey="{6E221501-051E-41C9-B738-1D25B1A34666}"/>
  </w:font>
  <w:font w:name="方正楷体_GB2312">
    <w:panose1 w:val="02000000000000000000"/>
    <w:charset w:val="86"/>
    <w:family w:val="auto"/>
    <w:pitch w:val="default"/>
    <w:sig w:usb0="A00002BF" w:usb1="184F6CFA" w:usb2="00000012" w:usb3="00000000" w:csb0="00040001" w:csb1="00000000"/>
    <w:embedRegular r:id="rId5" w:fontKey="{0CFF9633-9B75-41EB-9D17-70A7812B0C07}"/>
  </w:font>
  <w:font w:name="方正仿宋_GB2312">
    <w:panose1 w:val="02000000000000000000"/>
    <w:charset w:val="86"/>
    <w:family w:val="auto"/>
    <w:pitch w:val="default"/>
    <w:sig w:usb0="A00002BF" w:usb1="184F6CFA" w:usb2="00000012" w:usb3="00000000" w:csb0="00040001" w:csb1="00000000"/>
    <w:embedRegular r:id="rId6" w:fontKey="{3EBFEB1D-CC5B-46A8-9E41-1CEC7356DC4E}"/>
  </w:font>
  <w:font w:name="仿宋_GB2312">
    <w:altName w:val="仿宋"/>
    <w:panose1 w:val="00000000000000000000"/>
    <w:charset w:val="00"/>
    <w:family w:val="auto"/>
    <w:pitch w:val="default"/>
    <w:sig w:usb0="00000000" w:usb1="00000000" w:usb2="00000000" w:usb3="00000000" w:csb0="00000000" w:csb1="00000000"/>
  </w:font>
  <w:font w:name="楷体_GB2312">
    <w:altName w:val="楷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300DAE">
    <w:pPr>
      <w:pStyle w:val="16"/>
      <w:jc w:val="cente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72E5C">
    <w:pPr>
      <w:pStyle w:val="16"/>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C0499">
    <w:pPr>
      <w:pStyle w:val="16"/>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C4521">
    <w:pPr>
      <w:rPr>
        <w:rFonts w:hint="eastAsia"/>
      </w:rPr>
    </w:pPr>
    <w:r>
      <w:drawing>
        <wp:anchor distT="0" distB="0" distL="0" distR="0" simplePos="0" relativeHeight="251660288" behindDoc="1" locked="0" layoutInCell="0" allowOverlap="1">
          <wp:simplePos x="0" y="0"/>
          <wp:positionH relativeFrom="page">
            <wp:posOffset>0</wp:posOffset>
          </wp:positionH>
          <wp:positionV relativeFrom="page">
            <wp:posOffset>0</wp:posOffset>
          </wp:positionV>
          <wp:extent cx="7560310" cy="10692130"/>
          <wp:effectExtent l="0" t="0" r="0" b="0"/>
          <wp:wrapNone/>
          <wp:docPr id="197387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73371" name="Picture 1"/>
                  <pic:cNvPicPr>
                    <a:picLocks noChangeAspect="1"/>
                  </pic:cNvPicPr>
                </pic:nvPicPr>
                <pic:blipFill>
                  <a:blip r:embed="rId1"/>
                  <a:stretch>
                    <a:fillRect/>
                  </a:stretch>
                </pic:blipFill>
                <pic:spPr>
                  <a:xfrm>
                    <a:off x="0" y="0"/>
                    <a:ext cx="7560310" cy="1069213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DD39D">
    <w:pPr>
      <w:pStyle w:val="17"/>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47A4D">
    <w:pPr>
      <w:rPr>
        <w:rFonts w:hint="eastAsia"/>
      </w:rPr>
    </w:pPr>
    <w:r>
      <w:drawing>
        <wp:anchor distT="0" distB="0" distL="0" distR="0" simplePos="0" relativeHeight="251659264" behindDoc="1" locked="0" layoutInCell="0" allowOverlap="1">
          <wp:simplePos x="0" y="0"/>
          <wp:positionH relativeFrom="page">
            <wp:posOffset>0</wp:posOffset>
          </wp:positionH>
          <wp:positionV relativeFrom="page">
            <wp:posOffset>0</wp:posOffset>
          </wp:positionV>
          <wp:extent cx="7560310" cy="10692130"/>
          <wp:effectExtent l="0" t="0" r="0" b="0"/>
          <wp:wrapNone/>
          <wp:docPr id="21058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3263" name="Picture 1"/>
                  <pic:cNvPicPr>
                    <a:picLocks noChangeAspect="1"/>
                  </pic:cNvPicPr>
                </pic:nvPicPr>
                <pic:blipFill>
                  <a:blip r:embed="rId1"/>
                  <a:stretch>
                    <a:fillRect/>
                  </a:stretch>
                </pic:blipFill>
                <pic:spPr>
                  <a:xfrm>
                    <a:off x="0" y="0"/>
                    <a:ext cx="7560310" cy="1069213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1F4A1F"/>
    <w:multiLevelType w:val="multilevel"/>
    <w:tmpl w:val="0F1F4A1F"/>
    <w:lvl w:ilvl="0" w:tentative="0">
      <w:start w:val="3"/>
      <w:numFmt w:val="decimal"/>
      <w:lvlText w:val="%1"/>
      <w:lvlJc w:val="left"/>
      <w:pPr>
        <w:ind w:left="630" w:hanging="630"/>
      </w:pPr>
      <w:rPr>
        <w:rFonts w:hint="default"/>
      </w:rPr>
    </w:lvl>
    <w:lvl w:ilvl="1" w:tentative="0">
      <w:start w:val="2"/>
      <w:numFmt w:val="decimal"/>
      <w:lvlText w:val="%1.%2"/>
      <w:lvlJc w:val="left"/>
      <w:pPr>
        <w:ind w:left="871" w:hanging="630"/>
      </w:pPr>
      <w:rPr>
        <w:rFonts w:hint="default"/>
      </w:rPr>
    </w:lvl>
    <w:lvl w:ilvl="2" w:tentative="0">
      <w:start w:val="3"/>
      <w:numFmt w:val="decimal"/>
      <w:lvlText w:val="%1.%2.%3"/>
      <w:lvlJc w:val="left"/>
      <w:pPr>
        <w:ind w:left="1202" w:hanging="720"/>
      </w:pPr>
      <w:rPr>
        <w:rFonts w:hint="default"/>
      </w:rPr>
    </w:lvl>
    <w:lvl w:ilvl="3" w:tentative="0">
      <w:start w:val="1"/>
      <w:numFmt w:val="decimal"/>
      <w:lvlText w:val="%1.%2.%3.%4"/>
      <w:lvlJc w:val="left"/>
      <w:pPr>
        <w:ind w:left="1803" w:hanging="1080"/>
      </w:pPr>
      <w:rPr>
        <w:rFonts w:hint="default"/>
      </w:rPr>
    </w:lvl>
    <w:lvl w:ilvl="4" w:tentative="0">
      <w:start w:val="1"/>
      <w:numFmt w:val="decimal"/>
      <w:lvlText w:val="%1.%2.%3.%4.%5"/>
      <w:lvlJc w:val="left"/>
      <w:pPr>
        <w:ind w:left="2044" w:hanging="1080"/>
      </w:pPr>
      <w:rPr>
        <w:rFonts w:hint="default"/>
      </w:rPr>
    </w:lvl>
    <w:lvl w:ilvl="5" w:tentative="0">
      <w:start w:val="1"/>
      <w:numFmt w:val="decimal"/>
      <w:lvlText w:val="%1.%2.%3.%4.%5.%6"/>
      <w:lvlJc w:val="left"/>
      <w:pPr>
        <w:ind w:left="2645" w:hanging="1440"/>
      </w:pPr>
      <w:rPr>
        <w:rFonts w:hint="default"/>
      </w:rPr>
    </w:lvl>
    <w:lvl w:ilvl="6" w:tentative="0">
      <w:start w:val="1"/>
      <w:numFmt w:val="decimal"/>
      <w:lvlText w:val="%1.%2.%3.%4.%5.%6.%7"/>
      <w:lvlJc w:val="left"/>
      <w:pPr>
        <w:ind w:left="3246" w:hanging="1800"/>
      </w:pPr>
      <w:rPr>
        <w:rFonts w:hint="default"/>
      </w:rPr>
    </w:lvl>
    <w:lvl w:ilvl="7" w:tentative="0">
      <w:start w:val="1"/>
      <w:numFmt w:val="decimal"/>
      <w:lvlText w:val="%1.%2.%3.%4.%5.%6.%7.%8"/>
      <w:lvlJc w:val="left"/>
      <w:pPr>
        <w:ind w:left="3487" w:hanging="1800"/>
      </w:pPr>
      <w:rPr>
        <w:rFonts w:hint="default"/>
      </w:rPr>
    </w:lvl>
    <w:lvl w:ilvl="8" w:tentative="0">
      <w:start w:val="1"/>
      <w:numFmt w:val="decimal"/>
      <w:lvlText w:val="%1.%2.%3.%4.%5.%6.%7.%8.%9"/>
      <w:lvlJc w:val="left"/>
      <w:pPr>
        <w:ind w:left="4088"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177"/>
    <w:rsid w:val="000B11AD"/>
    <w:rsid w:val="000D5F95"/>
    <w:rsid w:val="001324A6"/>
    <w:rsid w:val="00165D22"/>
    <w:rsid w:val="001B45E4"/>
    <w:rsid w:val="00257D44"/>
    <w:rsid w:val="00273177"/>
    <w:rsid w:val="002D3E2E"/>
    <w:rsid w:val="002D6C50"/>
    <w:rsid w:val="002D705E"/>
    <w:rsid w:val="00362D9E"/>
    <w:rsid w:val="00393889"/>
    <w:rsid w:val="003B56D6"/>
    <w:rsid w:val="004C17F6"/>
    <w:rsid w:val="00505B56"/>
    <w:rsid w:val="00535DAC"/>
    <w:rsid w:val="005F0018"/>
    <w:rsid w:val="005F70EC"/>
    <w:rsid w:val="006211D6"/>
    <w:rsid w:val="006859DD"/>
    <w:rsid w:val="0069169F"/>
    <w:rsid w:val="00711FB5"/>
    <w:rsid w:val="008124F5"/>
    <w:rsid w:val="008529DE"/>
    <w:rsid w:val="0086259C"/>
    <w:rsid w:val="008A5994"/>
    <w:rsid w:val="008A7D97"/>
    <w:rsid w:val="00930CA6"/>
    <w:rsid w:val="009B0439"/>
    <w:rsid w:val="00B070BA"/>
    <w:rsid w:val="00B47246"/>
    <w:rsid w:val="00BD422F"/>
    <w:rsid w:val="00C60DCF"/>
    <w:rsid w:val="00CE0BB2"/>
    <w:rsid w:val="00D0022E"/>
    <w:rsid w:val="00D23A48"/>
    <w:rsid w:val="00DA1640"/>
    <w:rsid w:val="00DE4BCD"/>
    <w:rsid w:val="00FC21A5"/>
    <w:rsid w:val="00FF435C"/>
    <w:rsid w:val="00FF7560"/>
    <w:rsid w:val="4508367B"/>
    <w:rsid w:val="469A23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semiHidden="0" w:name="toc 3"/>
    <w:lsdException w:qFormat="1" w:uiPriority="39" w:semiHidden="0" w:name="toc 4"/>
    <w:lsdException w:uiPriority="39" w:semiHidden="0" w:name="toc 5"/>
    <w:lsdException w:qFormat="1" w:uiPriority="39" w:semiHidden="0" w:name="toc 6"/>
    <w:lsdException w:uiPriority="39" w:semiHidden="0" w:name="toc 7"/>
    <w:lsdException w:qFormat="1" w:uiPriority="39" w:semiHidden="0" w:name="toc 8"/>
    <w:lsdException w:uiPriority="39" w:semiHidden="0"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0"/>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3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32"/>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33"/>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34"/>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35"/>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7">
    <w:name w:val="Default Paragraph Font"/>
    <w:semiHidden/>
    <w:unhideWhenUsed/>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styleId="11">
    <w:name w:val="toc 7"/>
    <w:basedOn w:val="1"/>
    <w:next w:val="1"/>
    <w:autoRedefine/>
    <w:unhideWhenUsed/>
    <w:uiPriority w:val="39"/>
    <w:pPr>
      <w:spacing w:after="160" w:line="278" w:lineRule="auto"/>
      <w:ind w:left="2520" w:leftChars="1200"/>
      <w:jc w:val="left"/>
    </w:pPr>
    <w:rPr>
      <w:sz w:val="22"/>
      <w:szCs w:val="24"/>
      <w14:ligatures w14:val="standardContextual"/>
    </w:rPr>
  </w:style>
  <w:style w:type="paragraph" w:styleId="12">
    <w:name w:val="caption"/>
    <w:basedOn w:val="1"/>
    <w:next w:val="1"/>
    <w:unhideWhenUsed/>
    <w:qFormat/>
    <w:uiPriority w:val="35"/>
    <w:pPr>
      <w:spacing w:after="160" w:line="278" w:lineRule="auto"/>
      <w:jc w:val="left"/>
    </w:pPr>
    <w:rPr>
      <w:rFonts w:eastAsia="黑体" w:asciiTheme="majorHAnsi" w:hAnsiTheme="majorHAnsi" w:cstheme="majorBidi"/>
      <w:sz w:val="20"/>
      <w:szCs w:val="20"/>
      <w14:ligatures w14:val="standardContextual"/>
    </w:rPr>
  </w:style>
  <w:style w:type="paragraph" w:styleId="13">
    <w:name w:val="toc 5"/>
    <w:basedOn w:val="1"/>
    <w:next w:val="1"/>
    <w:autoRedefine/>
    <w:unhideWhenUsed/>
    <w:uiPriority w:val="39"/>
    <w:pPr>
      <w:spacing w:after="160" w:line="278" w:lineRule="auto"/>
      <w:ind w:left="1680" w:leftChars="800"/>
      <w:jc w:val="left"/>
    </w:pPr>
    <w:rPr>
      <w:sz w:val="22"/>
      <w:szCs w:val="24"/>
      <w14:ligatures w14:val="standardContextual"/>
    </w:rPr>
  </w:style>
  <w:style w:type="paragraph" w:styleId="14">
    <w:name w:val="toc 3"/>
    <w:basedOn w:val="1"/>
    <w:next w:val="1"/>
    <w:autoRedefine/>
    <w:unhideWhenUsed/>
    <w:uiPriority w:val="39"/>
    <w:pPr>
      <w:ind w:left="840" w:leftChars="400"/>
    </w:pPr>
  </w:style>
  <w:style w:type="paragraph" w:styleId="15">
    <w:name w:val="toc 8"/>
    <w:basedOn w:val="1"/>
    <w:next w:val="1"/>
    <w:autoRedefine/>
    <w:unhideWhenUsed/>
    <w:qFormat/>
    <w:uiPriority w:val="39"/>
    <w:pPr>
      <w:spacing w:after="160" w:line="278" w:lineRule="auto"/>
      <w:ind w:left="2940" w:leftChars="1400"/>
      <w:jc w:val="left"/>
    </w:pPr>
    <w:rPr>
      <w:sz w:val="22"/>
      <w:szCs w:val="24"/>
      <w14:ligatures w14:val="standardContextual"/>
    </w:rPr>
  </w:style>
  <w:style w:type="paragraph" w:styleId="16">
    <w:name w:val="footer"/>
    <w:basedOn w:val="1"/>
    <w:link w:val="50"/>
    <w:unhideWhenUsed/>
    <w:uiPriority w:val="99"/>
    <w:pPr>
      <w:tabs>
        <w:tab w:val="center" w:pos="4153"/>
        <w:tab w:val="right" w:pos="8306"/>
      </w:tabs>
      <w:snapToGrid w:val="0"/>
      <w:jc w:val="left"/>
    </w:pPr>
    <w:rPr>
      <w:sz w:val="18"/>
      <w:szCs w:val="18"/>
    </w:rPr>
  </w:style>
  <w:style w:type="paragraph" w:styleId="17">
    <w:name w:val="header"/>
    <w:basedOn w:val="1"/>
    <w:link w:val="49"/>
    <w:unhideWhenUsed/>
    <w:qFormat/>
    <w:uiPriority w:val="99"/>
    <w:pPr>
      <w:tabs>
        <w:tab w:val="center" w:pos="4153"/>
        <w:tab w:val="right" w:pos="8306"/>
      </w:tabs>
      <w:snapToGrid w:val="0"/>
      <w:jc w:val="center"/>
    </w:pPr>
    <w:rPr>
      <w:sz w:val="18"/>
      <w:szCs w:val="18"/>
    </w:rPr>
  </w:style>
  <w:style w:type="paragraph" w:styleId="18">
    <w:name w:val="toc 1"/>
    <w:basedOn w:val="1"/>
    <w:next w:val="1"/>
    <w:autoRedefine/>
    <w:unhideWhenUsed/>
    <w:uiPriority w:val="39"/>
  </w:style>
  <w:style w:type="paragraph" w:styleId="19">
    <w:name w:val="toc 4"/>
    <w:basedOn w:val="1"/>
    <w:next w:val="1"/>
    <w:autoRedefine/>
    <w:unhideWhenUsed/>
    <w:qFormat/>
    <w:uiPriority w:val="39"/>
    <w:pPr>
      <w:spacing w:after="160" w:line="278" w:lineRule="auto"/>
      <w:ind w:left="1260" w:leftChars="600"/>
      <w:jc w:val="left"/>
    </w:pPr>
    <w:rPr>
      <w:sz w:val="22"/>
      <w:szCs w:val="24"/>
      <w14:ligatures w14:val="standardContextual"/>
    </w:rPr>
  </w:style>
  <w:style w:type="paragraph" w:styleId="20">
    <w:name w:val="Subtitle"/>
    <w:basedOn w:val="1"/>
    <w:next w:val="1"/>
    <w:link w:val="4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1">
    <w:name w:val="toc 6"/>
    <w:basedOn w:val="1"/>
    <w:next w:val="1"/>
    <w:autoRedefine/>
    <w:unhideWhenUsed/>
    <w:qFormat/>
    <w:uiPriority w:val="39"/>
    <w:pPr>
      <w:spacing w:after="160" w:line="278" w:lineRule="auto"/>
      <w:ind w:left="2100" w:leftChars="1000"/>
      <w:jc w:val="left"/>
    </w:pPr>
    <w:rPr>
      <w:sz w:val="22"/>
      <w:szCs w:val="24"/>
      <w14:ligatures w14:val="standardContextual"/>
    </w:rPr>
  </w:style>
  <w:style w:type="paragraph" w:styleId="22">
    <w:name w:val="toc 2"/>
    <w:basedOn w:val="1"/>
    <w:next w:val="1"/>
    <w:autoRedefine/>
    <w:unhideWhenUsed/>
    <w:qFormat/>
    <w:uiPriority w:val="39"/>
    <w:pPr>
      <w:ind w:left="420" w:leftChars="200"/>
    </w:pPr>
  </w:style>
  <w:style w:type="paragraph" w:styleId="23">
    <w:name w:val="toc 9"/>
    <w:basedOn w:val="1"/>
    <w:next w:val="1"/>
    <w:autoRedefine/>
    <w:unhideWhenUsed/>
    <w:uiPriority w:val="39"/>
    <w:pPr>
      <w:spacing w:after="160" w:line="278" w:lineRule="auto"/>
      <w:ind w:left="3360" w:leftChars="1600"/>
      <w:jc w:val="left"/>
    </w:pPr>
    <w:rPr>
      <w:sz w:val="22"/>
      <w:szCs w:val="24"/>
      <w14:ligatures w14:val="standardContextual"/>
    </w:rPr>
  </w:style>
  <w:style w:type="paragraph" w:styleId="24">
    <w:name w:val="Title"/>
    <w:basedOn w:val="1"/>
    <w:next w:val="1"/>
    <w:link w:val="39"/>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6">
    <w:name w:val="Table Grid"/>
    <w:basedOn w:val="25"/>
    <w:qFormat/>
    <w:uiPriority w:val="0"/>
    <w:rPr>
      <w:sz w:val="22"/>
      <w:szCs w:val="24"/>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0"/>
    <w:rPr>
      <w:b/>
    </w:rPr>
  </w:style>
  <w:style w:type="character" w:styleId="29">
    <w:name w:val="Hyperlink"/>
    <w:basedOn w:val="27"/>
    <w:unhideWhenUsed/>
    <w:uiPriority w:val="99"/>
    <w:rPr>
      <w:color w:val="467886" w:themeColor="hyperlink"/>
      <w:u w:val="single"/>
      <w14:textFill>
        <w14:solidFill>
          <w14:schemeClr w14:val="hlink"/>
        </w14:solidFill>
      </w14:textFill>
    </w:rPr>
  </w:style>
  <w:style w:type="character" w:customStyle="1" w:styleId="30">
    <w:name w:val="标题 1 字符"/>
    <w:basedOn w:val="27"/>
    <w:link w:val="2"/>
    <w:qFormat/>
    <w:uiPriority w:val="9"/>
    <w:rPr>
      <w:rFonts w:asciiTheme="majorHAnsi" w:hAnsiTheme="majorHAnsi" w:eastAsiaTheme="majorEastAsia" w:cstheme="majorBidi"/>
      <w:color w:val="104862" w:themeColor="accent1" w:themeShade="BF"/>
      <w:sz w:val="48"/>
      <w:szCs w:val="48"/>
    </w:rPr>
  </w:style>
  <w:style w:type="character" w:customStyle="1" w:styleId="31">
    <w:name w:val="标题 2 字符"/>
    <w:basedOn w:val="27"/>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32">
    <w:name w:val="标题 3 字符"/>
    <w:basedOn w:val="27"/>
    <w:link w:val="4"/>
    <w:uiPriority w:val="9"/>
    <w:rPr>
      <w:rFonts w:asciiTheme="majorHAnsi" w:hAnsiTheme="majorHAnsi" w:eastAsiaTheme="majorEastAsia" w:cstheme="majorBidi"/>
      <w:color w:val="104862" w:themeColor="accent1" w:themeShade="BF"/>
      <w:sz w:val="32"/>
      <w:szCs w:val="32"/>
    </w:rPr>
  </w:style>
  <w:style w:type="character" w:customStyle="1" w:styleId="33">
    <w:name w:val="标题 4 字符"/>
    <w:basedOn w:val="27"/>
    <w:link w:val="5"/>
    <w:semiHidden/>
    <w:uiPriority w:val="9"/>
    <w:rPr>
      <w:rFonts w:cstheme="majorBidi"/>
      <w:color w:val="104862" w:themeColor="accent1" w:themeShade="BF"/>
      <w:sz w:val="28"/>
      <w:szCs w:val="28"/>
    </w:rPr>
  </w:style>
  <w:style w:type="character" w:customStyle="1" w:styleId="34">
    <w:name w:val="标题 5 字符"/>
    <w:basedOn w:val="27"/>
    <w:link w:val="6"/>
    <w:semiHidden/>
    <w:qFormat/>
    <w:uiPriority w:val="9"/>
    <w:rPr>
      <w:rFonts w:cstheme="majorBidi"/>
      <w:color w:val="104862" w:themeColor="accent1" w:themeShade="BF"/>
      <w:sz w:val="24"/>
      <w:szCs w:val="24"/>
    </w:rPr>
  </w:style>
  <w:style w:type="character" w:customStyle="1" w:styleId="35">
    <w:name w:val="标题 6 字符"/>
    <w:basedOn w:val="27"/>
    <w:link w:val="7"/>
    <w:semiHidden/>
    <w:qFormat/>
    <w:uiPriority w:val="9"/>
    <w:rPr>
      <w:rFonts w:cstheme="majorBidi"/>
      <w:b/>
      <w:bCs/>
      <w:color w:val="104862" w:themeColor="accent1" w:themeShade="BF"/>
    </w:rPr>
  </w:style>
  <w:style w:type="character" w:customStyle="1" w:styleId="36">
    <w:name w:val="标题 7 字符"/>
    <w:basedOn w:val="2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7">
    <w:name w:val="标题 8 字符"/>
    <w:basedOn w:val="2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8">
    <w:name w:val="标题 9 字符"/>
    <w:basedOn w:val="2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9">
    <w:name w:val="标题 字符"/>
    <w:basedOn w:val="27"/>
    <w:link w:val="24"/>
    <w:qFormat/>
    <w:uiPriority w:val="10"/>
    <w:rPr>
      <w:rFonts w:asciiTheme="majorHAnsi" w:hAnsiTheme="majorHAnsi" w:eastAsiaTheme="majorEastAsia" w:cstheme="majorBidi"/>
      <w:spacing w:val="-10"/>
      <w:kern w:val="28"/>
      <w:sz w:val="56"/>
      <w:szCs w:val="56"/>
    </w:rPr>
  </w:style>
  <w:style w:type="character" w:customStyle="1" w:styleId="40">
    <w:name w:val="副标题 字符"/>
    <w:basedOn w:val="27"/>
    <w:link w:val="20"/>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1">
    <w:name w:val="Quote"/>
    <w:basedOn w:val="1"/>
    <w:next w:val="1"/>
    <w:link w:val="4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42">
    <w:name w:val="引用 字符"/>
    <w:basedOn w:val="27"/>
    <w:link w:val="41"/>
    <w:qFormat/>
    <w:uiPriority w:val="29"/>
    <w:rPr>
      <w:i/>
      <w:iCs/>
      <w:color w:val="404040" w:themeColor="text1" w:themeTint="BF"/>
      <w14:textFill>
        <w14:solidFill>
          <w14:schemeClr w14:val="tx1">
            <w14:lumMod w14:val="75000"/>
            <w14:lumOff w14:val="25000"/>
          </w14:schemeClr>
        </w14:solidFill>
      </w14:textFill>
    </w:rPr>
  </w:style>
  <w:style w:type="paragraph" w:styleId="43">
    <w:name w:val="List Paragraph"/>
    <w:basedOn w:val="1"/>
    <w:qFormat/>
    <w:uiPriority w:val="34"/>
    <w:pPr>
      <w:ind w:left="720"/>
      <w:contextualSpacing/>
    </w:pPr>
  </w:style>
  <w:style w:type="character" w:customStyle="1" w:styleId="44">
    <w:name w:val="明显强调1"/>
    <w:basedOn w:val="27"/>
    <w:qFormat/>
    <w:uiPriority w:val="21"/>
    <w:rPr>
      <w:i/>
      <w:iCs/>
      <w:color w:val="104862" w:themeColor="accent1" w:themeShade="BF"/>
    </w:rPr>
  </w:style>
  <w:style w:type="paragraph" w:styleId="45">
    <w:name w:val="Intense Quote"/>
    <w:basedOn w:val="1"/>
    <w:next w:val="1"/>
    <w:link w:val="4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6">
    <w:name w:val="明显引用 字符"/>
    <w:basedOn w:val="27"/>
    <w:link w:val="45"/>
    <w:qFormat/>
    <w:uiPriority w:val="30"/>
    <w:rPr>
      <w:i/>
      <w:iCs/>
      <w:color w:val="104862" w:themeColor="accent1" w:themeShade="BF"/>
    </w:rPr>
  </w:style>
  <w:style w:type="character" w:customStyle="1" w:styleId="47">
    <w:name w:val="明显参考1"/>
    <w:basedOn w:val="27"/>
    <w:qFormat/>
    <w:uiPriority w:val="32"/>
    <w:rPr>
      <w:b/>
      <w:bCs/>
      <w:smallCaps/>
      <w:color w:val="104862" w:themeColor="accent1" w:themeShade="BF"/>
      <w:spacing w:val="5"/>
    </w:rPr>
  </w:style>
  <w:style w:type="table" w:customStyle="1" w:styleId="48">
    <w:name w:val="无格式表格 21"/>
    <w:basedOn w:val="25"/>
    <w:uiPriority w:val="42"/>
    <w:rPr>
      <w:sz w:val="22"/>
      <w:szCs w:val="24"/>
      <w14:ligatures w14:val="standardContextual"/>
    </w:r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49">
    <w:name w:val="页眉 字符"/>
    <w:basedOn w:val="27"/>
    <w:link w:val="17"/>
    <w:uiPriority w:val="99"/>
    <w:rPr>
      <w:sz w:val="18"/>
      <w:szCs w:val="18"/>
    </w:rPr>
  </w:style>
  <w:style w:type="character" w:customStyle="1" w:styleId="50">
    <w:name w:val="页脚 字符"/>
    <w:basedOn w:val="27"/>
    <w:link w:val="16"/>
    <w:uiPriority w:val="99"/>
    <w:rPr>
      <w:sz w:val="18"/>
      <w:szCs w:val="18"/>
    </w:rPr>
  </w:style>
  <w:style w:type="character" w:customStyle="1" w:styleId="51">
    <w:name w:val="未处理的提及1"/>
    <w:basedOn w:val="27"/>
    <w:semiHidden/>
    <w:unhideWhenUsed/>
    <w:uiPriority w:val="99"/>
    <w:rPr>
      <w:color w:val="605E5C"/>
      <w:shd w:val="clear" w:color="auto" w:fill="E1DFDD"/>
    </w:rPr>
  </w:style>
  <w:style w:type="paragraph" w:customStyle="1" w:styleId="52">
    <w:name w:val="一级标题"/>
    <w:basedOn w:val="1"/>
    <w:link w:val="53"/>
    <w:autoRedefine/>
    <w:qFormat/>
    <w:uiPriority w:val="0"/>
    <w:pPr>
      <w:spacing w:line="360" w:lineRule="auto"/>
      <w:ind w:firstLine="600" w:firstLineChars="200"/>
      <w:jc w:val="center"/>
      <w:outlineLvl w:val="0"/>
    </w:pPr>
    <w:rPr>
      <w:rFonts w:ascii="宋体" w:hAnsi="宋体" w:eastAsia="宋体"/>
      <w:sz w:val="30"/>
      <w:szCs w:val="24"/>
    </w:rPr>
  </w:style>
  <w:style w:type="character" w:customStyle="1" w:styleId="53">
    <w:name w:val="一级标题 字符"/>
    <w:basedOn w:val="27"/>
    <w:link w:val="52"/>
    <w:uiPriority w:val="0"/>
    <w:rPr>
      <w:rFonts w:ascii="宋体" w:hAnsi="宋体" w:eastAsia="宋体"/>
      <w:sz w:val="30"/>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3.jpe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jpeg"/><Relationship Id="rId17" Type="http://schemas.openxmlformats.org/officeDocument/2006/relationships/image" Target="media/image9.jpeg"/><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chart" Target="charts/chart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24037;&#20316;&#31807;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defRPr lang="zh-CN" sz="960" b="1" i="0" u="none" strike="noStrike" kern="1200" baseline="0">
                <a:solidFill>
                  <a:schemeClr val="tx1">
                    <a:lumMod val="75000"/>
                    <a:lumOff val="25000"/>
                  </a:schemeClr>
                </a:solidFill>
                <a:latin typeface="+mn-lt"/>
                <a:ea typeface="+mn-ea"/>
                <a:cs typeface="+mn-cs"/>
              </a:defRPr>
            </a:pPr>
            <a:r>
              <a:rPr lang="zh-CN" altLang="en-US" sz="960"/>
              <a:t>市场规模</a:t>
            </a:r>
            <a:endParaRPr lang="zh-CN" altLang="en-US" sz="960"/>
          </a:p>
        </c:rich>
      </c:tx>
      <c:layout/>
      <c:overlay val="0"/>
      <c:spPr>
        <a:noFill/>
        <a:ln>
          <a:noFill/>
        </a:ln>
        <a:effectLst/>
      </c:spPr>
    </c:title>
    <c:autoTitleDeleted val="0"/>
    <c:plotArea>
      <c:layout/>
      <c:lineChart>
        <c:grouping val="standard"/>
        <c:varyColors val="0"/>
        <c:ser>
          <c:idx val="0"/>
          <c:order val="0"/>
          <c:tx>
            <c:strRef>
              <c:f>[工作簿1]Sheet1!$F$4:$F$5</c:f>
              <c:strCache>
                <c:ptCount val="1"/>
                <c:pt idx="0">
                  <c:v>年复合增长率(CAGR) —</c:v>
                </c:pt>
              </c:strCache>
            </c:strRef>
          </c:tx>
          <c:spPr>
            <a:ln w="28575" cap="flat" cmpd="sng" algn="ctr">
              <a:solidFill>
                <a:schemeClr val="accent2"/>
              </a:solidFill>
              <a:prstDash val="solid"/>
              <a:miter lim="800000"/>
            </a:ln>
            <a:effectLst/>
          </c:spPr>
          <c:marker>
            <c:symbol val="none"/>
          </c:marker>
          <c:dLbls>
            <c:spPr>
              <a:noFill/>
              <a:ln>
                <a:noFill/>
              </a:ln>
              <a:effectLst/>
            </c:spPr>
            <c:txPr>
              <a:bodyPr rot="0" spcFirstLastPara="0" vertOverflow="ellipsis" vert="horz" wrap="square" lIns="38100" tIns="19050" rIns="38100" bIns="19050" anchor="ctr" anchorCtr="1"/>
              <a:lstStyle/>
              <a:p>
                <a:pPr>
                  <a:defRPr lang="zh-CN" sz="800" b="0" i="0" u="none" strike="noStrike" kern="1200" baseline="0">
                    <a:solidFill>
                      <a:schemeClr val="tx1">
                        <a:lumMod val="75000"/>
                        <a:lumOff val="25000"/>
                      </a:schemeClr>
                    </a:solidFill>
                    <a:latin typeface="+mn-lt"/>
                    <a:ea typeface="+mn-ea"/>
                    <a:cs typeface="+mn-cs"/>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multiLvlStrRef>
              <c:f>[工作簿1]Sheet1!$C$6:$E$8</c:f>
              <c:multiLvlStrCache>
                <c:ptCount val="3"/>
                <c:lvl>
                  <c:pt idx="0">
                    <c:v>￥680亿</c:v>
                  </c:pt>
                  <c:pt idx="1">
                    <c:v>￥1,200亿</c:v>
                  </c:pt>
                  <c:pt idx="2">
                    <c:v>￥2,500亿</c:v>
                  </c:pt>
                </c:lvl>
                <c:lvl>
                  <c:pt idx="0">
                    <c:v>$236亿</c:v>
                  </c:pt>
                  <c:pt idx="1">
                    <c:v>$380亿</c:v>
                  </c:pt>
                  <c:pt idx="2">
                    <c:v>$650亿</c:v>
                  </c:pt>
                </c:lvl>
                <c:lvl>
                  <c:pt idx="0">
                    <c:v>2025</c:v>
                  </c:pt>
                  <c:pt idx="1">
                    <c:v>2027（预测）</c:v>
                  </c:pt>
                  <c:pt idx="2">
                    <c:v>2030（预测）</c:v>
                  </c:pt>
                </c:lvl>
              </c:multiLvlStrCache>
            </c:multiLvlStrRef>
          </c:cat>
          <c:val>
            <c:numRef>
              <c:f>[工作簿1]Sheet1!$F$6:$F$8</c:f>
              <c:numCache>
                <c:formatCode>0.00%</c:formatCode>
                <c:ptCount val="3"/>
                <c:pt idx="0">
                  <c:v>0.273</c:v>
                </c:pt>
                <c:pt idx="1">
                  <c:v>0.315</c:v>
                </c:pt>
                <c:pt idx="2">
                  <c:v>0.288</c:v>
                </c:pt>
              </c:numCache>
            </c:numRef>
          </c:val>
          <c:smooth val="0"/>
        </c:ser>
        <c:dLbls>
          <c:showLegendKey val="0"/>
          <c:showVal val="1"/>
          <c:showCatName val="0"/>
          <c:showSerName val="0"/>
          <c:showPercent val="0"/>
          <c:showBubbleSize val="0"/>
        </c:dLbls>
        <c:marker val="0"/>
        <c:smooth val="0"/>
        <c:axId val="653093792"/>
        <c:axId val="692423796"/>
      </c:lineChart>
      <c:catAx>
        <c:axId val="6530937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800" b="0" i="0" u="none" strike="noStrike" kern="1200" baseline="0">
                <a:solidFill>
                  <a:schemeClr val="tx1">
                    <a:lumMod val="65000"/>
                    <a:lumOff val="35000"/>
                  </a:schemeClr>
                </a:solidFill>
                <a:latin typeface="+mn-lt"/>
                <a:ea typeface="+mn-ea"/>
                <a:cs typeface="+mn-cs"/>
              </a:defRPr>
            </a:pPr>
          </a:p>
        </c:txPr>
        <c:crossAx val="692423796"/>
        <c:crosses val="autoZero"/>
        <c:auto val="1"/>
        <c:lblAlgn val="ctr"/>
        <c:lblOffset val="100"/>
        <c:noMultiLvlLbl val="0"/>
      </c:catAx>
      <c:valAx>
        <c:axId val="692423796"/>
        <c:scaling>
          <c:orientation val="minMax"/>
        </c:scaling>
        <c:delete val="0"/>
        <c:axPos val="l"/>
        <c:majorGridlines>
          <c:spPr>
            <a:ln w="9525" cap="flat" cmpd="sng" algn="ctr">
              <a:solidFill>
                <a:schemeClr val="lt1">
                  <a:lumMod val="90200"/>
                </a:schemeClr>
              </a:solidFill>
              <a:round/>
            </a:ln>
            <a:effectLst/>
          </c:spPr>
        </c:majorGridlines>
        <c:numFmt formatCode="0.00%" sourceLinked="1"/>
        <c:majorTickMark val="none"/>
        <c:minorTickMark val="none"/>
        <c:tickLblPos val="nextTo"/>
        <c:spPr>
          <a:noFill/>
          <a:ln>
            <a:noFill/>
          </a:ln>
          <a:effectLst/>
        </c:spPr>
        <c:txPr>
          <a:bodyPr rot="-60000000" spcFirstLastPara="0" vertOverflow="ellipsis" vert="horz" wrap="square" anchor="ctr" anchorCtr="1"/>
          <a:lstStyle/>
          <a:p>
            <a:pPr>
              <a:defRPr lang="zh-CN" sz="800" b="0" i="0" u="none" strike="noStrike" kern="1200" baseline="0">
                <a:solidFill>
                  <a:schemeClr val="tx1">
                    <a:lumMod val="65000"/>
                    <a:lumOff val="35000"/>
                  </a:schemeClr>
                </a:solidFill>
                <a:latin typeface="+mn-lt"/>
                <a:ea typeface="+mn-ea"/>
                <a:cs typeface="+mn-cs"/>
              </a:defRPr>
            </a:pPr>
          </a:p>
        </c:txPr>
        <c:crossAx val="653093792"/>
        <c:crosses val="autoZero"/>
        <c:crossBetween val="between"/>
      </c:valAx>
      <c:spPr>
        <a:noFill/>
        <a:ln>
          <a:noFill/>
        </a:ln>
        <a:effectLst/>
      </c:spPr>
    </c:plotArea>
    <c:legend>
      <c:legendPos val="b"/>
      <c:legendEntry>
        <c:idx val="0"/>
        <c:txPr>
          <a:bodyPr rot="0" spcFirstLastPara="0" vertOverflow="ellipsis" vert="horz" wrap="square" anchor="ctr" anchorCtr="1"/>
          <a:lstStyle/>
          <a:p>
            <a:pPr>
              <a:defRPr lang="zh-CN" sz="800" b="0" i="0" u="none" strike="noStrike" kern="1200" baseline="0">
                <a:solidFill>
                  <a:schemeClr val="tx1">
                    <a:lumMod val="65000"/>
                    <a:lumOff val="35000"/>
                  </a:schemeClr>
                </a:solidFill>
                <a:latin typeface="+mn-lt"/>
                <a:ea typeface="+mn-ea"/>
                <a:cs typeface="+mn-cs"/>
              </a:defRPr>
            </a:pPr>
          </a:p>
        </c:txPr>
      </c:legendEntry>
      <c:layout/>
      <c:overlay val="0"/>
      <c:spPr>
        <a:noFill/>
        <a:ln>
          <a:noFill/>
        </a:ln>
        <a:effectLst/>
      </c:spPr>
      <c:txPr>
        <a:bodyPr rot="0" spcFirstLastPara="0" vertOverflow="ellipsis" vert="horz" wrap="square" anchor="ctr" anchorCtr="1"/>
        <a:lstStyle/>
        <a:p>
          <a:pPr>
            <a:defRPr lang="zh-CN" sz="8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5dcba80f-2369-4f78-81c3-959851456e9b}"/>
      </c:ext>
    </c:extLst>
  </c:chart>
  <c:spPr>
    <a:solidFill>
      <a:schemeClr val="bg1"/>
    </a:solidFill>
    <a:ln w="9525" cap="flat" cmpd="sng" algn="ctr">
      <a:solidFill>
        <a:schemeClr val="tx1">
          <a:lumMod val="15000"/>
          <a:lumOff val="85000"/>
        </a:schemeClr>
      </a:solidFill>
      <a:round/>
    </a:ln>
    <a:effectLst/>
  </c:spPr>
  <c:txPr>
    <a:bodyPr/>
    <a:lstStyle/>
    <a:p>
      <a:pPr>
        <a:defRPr lang="zh-CN" sz="800"/>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B9CB56-836E-41F5-AEE1-513FE3449EA2}">
  <ds:schemaRefs/>
</ds:datastoreItem>
</file>

<file path=docProps/app.xml><?xml version="1.0" encoding="utf-8"?>
<Properties xmlns="http://schemas.openxmlformats.org/officeDocument/2006/extended-properties" xmlns:vt="http://schemas.openxmlformats.org/officeDocument/2006/docPropsVTypes">
  <Template>Normal.dotm</Template>
  <Pages>39</Pages>
  <Words>17777</Words>
  <Characters>20765</Characters>
  <Lines>195</Lines>
  <Paragraphs>54</Paragraphs>
  <TotalTime>104</TotalTime>
  <ScaleCrop>false</ScaleCrop>
  <LinksUpToDate>false</LinksUpToDate>
  <CharactersWithSpaces>22000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2026-06-13T12:24:00Z</dcterms:created>
  <dc:creator>念 刘</dc:creator>
  <cp:lastModifiedBy>杨博文</cp:lastModifiedBy>
  <dcterms:modified xsi:type="dcterms:W3CDTF">2026-06-25T05:43:57Z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eyJoZGlkIjoiZTdhYzI4YTY2ZTMyOWJmNmQ0ODBlOTFhYjY1MDgzZTkiLCJ1c2VySWQiOiI2NDkwMjAyMDcifQ==</vt:lpwstr>
  </property>
  <property fmtid="{D5CDD505-2E9C-101B-9397-08002B2CF9AE}" pid="3" name="KSOProductBuildVer">
    <vt:lpwstr>2052-12.1.0.26895</vt:lpwstr>
  </property>
  <property fmtid="{D5CDD505-2E9C-101B-9397-08002B2CF9AE}" pid="4" name="ICV">
    <vt:lpwstr>E50CEAF06F954FE28D6B3FA22DA8EA63_12</vt:lpwstr>
  </property>
</Properties>
</file>