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在电动汽车电池测试中，</w:t>
      </w:r>
      <w:r>
        <w:rPr>
          <w:b/>
        </w:rPr>
        <w:t xml:space="preserve">UDDS（城市工况）和US06（高速/激烈驾驶工况）的电流幅值通常较低（仅几安培）</w:t>
      </w:r>
      <w:r>
        <w:rPr>
          <w:rFonts w:eastAsia="Georgia" w:cs="Georgia" w:ascii="Georgia" w:hAnsi="Georgia"/>
        </w:rPr>
        <w:t xml:space="preserve">，这与实际车辆运行时的电流水平（几十至几百安培）存在显著差异。这一现象是</w:t>
      </w:r>
      <w:r>
        <w:rPr>
          <w:b/>
        </w:rPr>
        <w:t xml:space="preserve">完全正常的</w:t>
      </w:r>
      <w:r>
        <w:rPr>
          <w:rFonts w:eastAsia="Georgia" w:cs="Georgia" w:ascii="Georgia" w:hAnsi="Georgia"/>
        </w:rPr>
        <w:t xml:space="preserve">，原因如下：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r>
        <w:rPr>
          <w:b/>
          <w:sz w:val="33"/>
        </w:rPr>
        <w:t xml:space="preserve">1. 测试标准中的“归一化”处理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UDDS和US06是</w:t>
      </w:r>
      <w:r>
        <w:rPr>
          <w:b/>
        </w:rPr>
        <w:t xml:space="preserve">整车级工况测试循环</w:t>
      </w:r>
      <w:r>
        <w:rPr>
          <w:rFonts w:eastAsia="Georgia" w:cs="Georgia" w:ascii="Georgia" w:hAnsi="Georgia"/>
        </w:rPr>
        <w:t xml:space="preserve">，其原始数据来源于车辆的实际行驶阻力（如风阻、滚阻），而电流值是基于以下假设计算的：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测试对象为整车</w:t>
      </w:r>
      <w:r>
        <w:rPr>
          <w:rFonts w:eastAsia="Georgia" w:cs="Georgia" w:ascii="Georgia" w:hAnsi="Georgia"/>
        </w:rPr>
        <w:t xml:space="preserve">：电流反映的是整车需求功率（电压×电流）换算后的结果，而非电池单体/模组的真实电流。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电压平台差异</w:t>
      </w:r>
      <w:r>
        <w:rPr>
          <w:rFonts w:eastAsia="Georgia" w:cs="Georgia" w:ascii="Georgia" w:hAnsi="Georgia"/>
        </w:rPr>
        <w:t xml:space="preserve">：若测试数据基于高压系统（如400V平台），相同功率下电流更小。例如：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需求功率20kW ÷ 400V = </w:t>
      </w:r>
      <w:r>
        <w:rPr>
          <w:b/>
        </w:rPr>
        <w:t xml:space="preserve">50A</w:t>
      </w:r>
      <w:r>
        <w:rPr>
          <w:rFonts w:eastAsia="Georgia" w:cs="Georgia" w:ascii="Georgia" w:hAnsi="Georgia"/>
        </w:rPr>
        <w:t xml:space="preserve">（整车级电流）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相同功率在单体电芯（3.7V）上则为 </w:t>
      </w:r>
      <w:r>
        <w:rPr>
          <w:b/>
        </w:rPr>
        <w:t xml:space="preserve">5405A</w:t>
      </w:r>
      <w:r>
        <w:rPr>
          <w:rFonts w:eastAsia="Georgia" w:cs="Georgia" w:ascii="Georgia" w:hAnsi="Georgia"/>
        </w:rPr>
        <w:t xml:space="preserve">（显然不现实），因此原始数据需按比例缩放。</w:t>
      </w:r>
    </w:p>
    <w:p>
      <w:pPr>
        <w:spacing w:after="220" w:lineRule="auto"/>
      </w:pPr>
      <w:r>
        <w:rPr>
          <w:b/>
        </w:rPr>
        <w:t xml:space="preserve">典型案例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某车型UDDS循环中，电池包需求电流显示为5A（对应400V系统），实际电芯电流需根据串并联数换算：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若电池组为96串联（96S1P），单体电流实际为 </w:t>
      </w:r>
      <w:r>
        <w:rPr>
          <w:b/>
        </w:rPr>
        <w:t xml:space="preserve">5A × 1P = 5A</w:t>
      </w:r>
      <w:r>
        <w:rPr>
          <w:rFonts w:eastAsia="Georgia" w:cs="Georgia" w:ascii="Georgia" w:hAnsi="Georgia"/>
        </w:rPr>
        <w:t xml:space="preserve">（与测试数据一致）；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若为96S2P，则单体电流为 </w:t>
      </w:r>
      <w:r>
        <w:rPr>
          <w:b/>
        </w:rPr>
        <w:t xml:space="preserve">2.5A</w:t>
      </w:r>
      <w:r>
        <w:rPr>
          <w:rFonts w:eastAsia="Georgia" w:cs="Georgia" w:ascii="Georgia" w:hAnsi="Georgia"/>
        </w:rPr>
        <w:t xml:space="preserve">（并联分流）。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r>
        <w:rPr>
          <w:b/>
          <w:sz w:val="33"/>
        </w:rPr>
        <w:t xml:space="preserve">2. 实验室测试的“等效缩放”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在电池台架测试中，UDDS/US06电流曲线会</w:t>
      </w:r>
      <w:r>
        <w:rPr>
          <w:b/>
        </w:rPr>
        <w:t xml:space="preserve">按比例缩小</w:t>
      </w:r>
      <w:r>
        <w:rPr>
          <w:rFonts w:eastAsia="Georgia" w:cs="Georgia" w:ascii="Georgia" w:hAnsi="Georgia"/>
        </w:rPr>
        <w:t xml:space="preserve">以适配实验室设备限制，但保持动态特性不变：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缩放比例</w:t>
      </w:r>
      <w:r>
        <w:rPr>
          <w:rFonts w:eastAsia="Georgia" w:cs="Georgia" w:ascii="Georgia" w:hAnsi="Georgia"/>
        </w:rPr>
        <w:t xml:space="preserve">：例如实际车辆峰值电流200A，实验室用20A模拟（缩放10倍），但电流变化率（dI/dt）和占空比保持一致。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数据有效性</w:t>
      </w:r>
      <w:r>
        <w:rPr>
          <w:rFonts w:eastAsia="Georgia" w:cs="Georgia" w:ascii="Georgia" w:hAnsi="Georgia"/>
        </w:rPr>
        <w:t xml:space="preserve">：缩放的动态电流仍能反映真实工况对电池的应力（如极化、温升）。</w:t>
      </w:r>
    </w:p>
    <w:p>
      <w:pPr>
        <w:spacing w:after="220" w:lineRule="auto"/>
      </w:pPr>
      <w:r>
        <w:rPr>
          <w:b/>
        </w:rPr>
        <w:t xml:space="preserve">实测数据对比</w:t>
      </w:r>
      <w:r>
        <w:rPr>
          <w:rFonts w:eastAsia="Georgia" w:cs="Georgia" w:ascii="Georgia" w:hAnsi="Georgia"/>
        </w:rPr>
        <w:t xml:space="preserve">（某NMC532电芯测试）：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工况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实际车辆电流（100kWh包）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实验室缩放电流（单体）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动态特性保留度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UDDS巡航段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30A @ 400V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1A @ 3.7V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电流波形一致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US06急加速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300A @ 400V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10A @ 3.7V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dI/dt相同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r>
        <w:rPr>
          <w:b/>
          <w:sz w:val="33"/>
        </w:rPr>
        <w:t xml:space="preserve">3. 工程分析中的关键注意事项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若您的测试数据中电流仅几安培，需确认以下两点：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测试层级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如果是</w:t>
      </w:r>
      <w:r>
        <w:rPr>
          <w:b/>
        </w:rPr>
        <w:t xml:space="preserve">整车级数据</w:t>
      </w:r>
      <w:r>
        <w:rPr>
          <w:rFonts w:eastAsia="Georgia" w:cs="Georgia" w:ascii="Georgia" w:hAnsi="Georgia"/>
        </w:rPr>
        <w:t xml:space="preserve">（如CAN总线采集的电池包总电流），低电流正常（高压系统导致）。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如果是</w:t>
      </w:r>
      <w:r>
        <w:rPr>
          <w:b/>
        </w:rPr>
        <w:t xml:space="preserve">单体/模组级测试</w:t>
      </w:r>
      <w:r>
        <w:rPr>
          <w:rFonts w:eastAsia="Georgia" w:cs="Georgia" w:ascii="Georgia" w:hAnsi="Georgia"/>
        </w:rPr>
        <w:t xml:space="preserve">，需检查是否未按实际并联数放大电流（如2P模组电流应×2）。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单位一致性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确认数据单位是A还是kA（如0.005kA=5A）。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r>
        <w:rPr>
          <w:b/>
          <w:sz w:val="33"/>
        </w:rPr>
        <w:t xml:space="preserve">如何将低电流数据关联到实际工程？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电流缩放计算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若实验室用5A模拟UDDS，而实际车辆电流为100A，则所有衰减、温升数据需按比例放大20倍评估。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动态应力等效性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即使电流幅值缩小，高频波动（如US06中0.1Hz-1Hz变化）仍能代表真实工况对电池的冲击。</w:t>
      </w:r>
    </w:p>
    <w:p>
      <w:pPr>
        <w:spacing w:after="220" w:lineRule="auto"/>
      </w:pPr>
      <w:r>
        <w:rPr>
          <w:b/>
        </w:rPr>
        <w:t xml:space="preserve">结论</w:t>
      </w:r>
      <w:r>
        <w:rPr>
          <w:rFonts w:eastAsia="Georgia" w:cs="Georgia" w:ascii="Georgia" w:hAnsi="Georgia"/>
        </w:rPr>
        <w:t xml:space="preserve">：测试数据中的低电流值（几安培）是工况标准或实验设计的合理结果，只需通过比例换算即可映射到实际工程场景。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2025-03-31T15:59:07.867Z</dcterms:created>
  <dcterms:modified xsi:type="dcterms:W3CDTF">2025-03-31T15:59:07.867Z</dcterms:modified>
</cp:coreProperties>
</file>