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F68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bookmarkStart w:id="0" w:name="_GoBack"/>
      <w:r>
        <w:rPr>
          <w:rFonts w:hint="eastAsia" w:ascii="Times New Roman" w:hAnsi="Times New Roman" w:cstheme="minorBidi"/>
          <w:b w:val="0"/>
          <w:kern w:val="2"/>
          <w:sz w:val="21"/>
          <w:szCs w:val="21"/>
          <w:lang w:val="en-US" w:eastAsia="zh-CN" w:bidi="ar-SA"/>
        </w:rPr>
        <w:t>[45]</w:t>
      </w:r>
      <w:r>
        <w:rPr>
          <w:rFonts w:hint="eastAsia" w:ascii="Times New Roman" w:hAnsi="Times New Roman" w:eastAsiaTheme="minorEastAsia" w:cstheme="minorBidi"/>
          <w:b w:val="0"/>
          <w:kern w:val="2"/>
          <w:sz w:val="21"/>
          <w:szCs w:val="21"/>
          <w:lang w:val="en-US" w:eastAsia="zh-CN" w:bidi="ar-SA"/>
        </w:rPr>
        <w:t>WANG L, XU J, ZHANG Y, et al. Lithium plating detection and onset mechanism in cycled lithium-ion batteries by using electrochemical impedance spectroscopy[J]. Energy &amp; Environmental Science, 2021, 14(7): 3867–3878.</w:t>
      </w:r>
    </w:p>
    <w:p w14:paraId="41317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[4</w:t>
      </w:r>
      <w:r>
        <w:rPr>
          <w:rFonts w:hint="eastAsia" w:cstheme="minorBidi"/>
          <w:b w:val="0"/>
          <w:kern w:val="2"/>
          <w:sz w:val="21"/>
          <w:szCs w:val="21"/>
          <w:lang w:val="en-US" w:eastAsia="zh-CN" w:bidi="ar-SA"/>
        </w:rPr>
        <w:t>6</w:t>
      </w:r>
      <w:r>
        <w:rPr>
          <w:rFonts w:hint="eastAsia" w:ascii="Times New Roman" w:hAnsi="Times New Roman" w:eastAsiaTheme="minorEastAsia" w:cstheme="minorBidi"/>
          <w:b w:val="0"/>
          <w:kern w:val="2"/>
          <w:sz w:val="21"/>
          <w:szCs w:val="21"/>
          <w:lang w:val="en-US" w:eastAsia="zh-CN" w:bidi="ar-SA"/>
        </w:rPr>
        <w:t xml:space="preserve">]头条军事，锂电派.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"http://www.carmery.net/m/view.php?aid=362"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石墨负极形貌、结构在电池长期循环中的演变</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 xml:space="preserve">[R/OL]. (2021-09-04).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"http://www.carmery.net/m/view.php?aid=362#"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http://www.carmery.net/m/view.php?aid=362#</w:t>
      </w:r>
      <w:r>
        <w:rPr>
          <w:rFonts w:hint="eastAsia" w:ascii="Times New Roman" w:hAnsi="Times New Roman" w:eastAsiaTheme="minorEastAsia" w:cstheme="minorBidi"/>
          <w:b w:val="0"/>
          <w:kern w:val="2"/>
          <w:sz w:val="21"/>
          <w:szCs w:val="21"/>
          <w:lang w:val="en-US" w:eastAsia="zh-CN" w:bidi="ar-SA"/>
        </w:rPr>
        <w:fldChar w:fldCharType="end"/>
      </w:r>
    </w:p>
    <w:p w14:paraId="745EF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[47]A123 SYSTEMS. Nanophosphate® basics[R]. Livonia: A123 Systems, 2012.</w:t>
      </w:r>
    </w:p>
    <w:p w14:paraId="39ED22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[48]LÜ C. 电动汽车动力电池系统设计[M]. 北京: 机械工业出版社, 2022.</w:t>
      </w:r>
    </w:p>
    <w:p w14:paraId="02EAB8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[49]TESLA INC. 2023 Tesla impact report[R/OL]. (2024-05)[2025-04-25].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"https://www.tesla.com/ns_videos/2023-tesla-impact-report.pdf"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https://www.tesla.com/ns_videos/2023-tesla-impact-report.pdf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D7E6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[50]BUCHERER J F, HAGEN L, KULZER A C, et al. Experimental and numerical investigation of spark plug and passive pre-chamber ignition on a single-cylinder engine with hydrogen port fuel injection for lean operations[J]. SAE Technical Paper Series, 2023: 2023-01-1205.</w:t>
      </w:r>
    </w:p>
    <w:p w14:paraId="78506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[51]CONTEMPORARY AMPEREX TECHNOLOGY CO LTD. 宁德时代新能源科技股份有限公司2023年年度报告[R/OL]. (2024-03-21)[2025-04-25].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"https://www.catl.com/uploads/1/file/public/202403/20240321205248_hda9h48qci.pdf"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https://www.catl.com/uploads/1/file/public/202403/20240321205248_hda9h48qci.pdf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6B224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[5</w:t>
      </w:r>
      <w:r>
        <w:rPr>
          <w:rFonts w:hint="eastAsia" w:ascii="Times New Roman" w:hAnsi="Times New Roman" w:eastAsiaTheme="minorEastAsia" w:cstheme="minorBidi"/>
          <w:b w:val="0"/>
          <w:kern w:val="2"/>
          <w:sz w:val="21"/>
          <w:szCs w:val="21"/>
          <w:lang w:val="en-US" w:eastAsia="zh-CN" w:bidi="ar-SA"/>
        </w:rPr>
        <w:t xml:space="preserve">2]CONTEMPORARY AMPEREX TECHNOLOGY CO LTD. 宁德时代2023年度环境、社会与公司治理（ESG）报告[R/OL]. (2024-03)[2025-04-25].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"https://www.catl.com/uploads/1/file/public/202403/20240325205418_7hedp0r5ht.pdf" </w:instrText>
      </w:r>
      <w:r>
        <w:rPr>
          <w:rFonts w:hint="eastAsia" w:ascii="Times New Roman" w:hAnsi="Times New Roman" w:eastAsiaTheme="minorEastAsia" w:cstheme="minorBidi"/>
          <w:b w:val="0"/>
          <w:kern w:val="2"/>
          <w:sz w:val="21"/>
          <w:szCs w:val="21"/>
          <w:lang w:val="en-US" w:eastAsia="zh-CN" w:bidi="ar-SA"/>
        </w:rPr>
        <w:fldChar w:fldCharType="separate"/>
      </w:r>
      <w:r>
        <w:rPr>
          <w:rStyle w:val="6"/>
          <w:rFonts w:hint="eastAsia" w:ascii="Times New Roman" w:hAnsi="Times New Roman" w:eastAsiaTheme="minorEastAsia" w:cstheme="minorBidi"/>
          <w:b w:val="0"/>
          <w:kern w:val="2"/>
          <w:sz w:val="21"/>
          <w:szCs w:val="21"/>
          <w:lang w:val="en-US" w:eastAsia="zh-CN" w:bidi="ar-SA"/>
        </w:rPr>
        <w:t>https://www.catl.com/uploads/1/file/public/202403/20240325205418_7hedp0r5ht.pdf</w:t>
      </w:r>
      <w:r>
        <w:rPr>
          <w:rFonts w:hint="eastAsia" w:ascii="Times New Roman" w:hAnsi="Times New Roman" w:eastAsiaTheme="minorEastAsia" w:cstheme="minorBidi"/>
          <w:b w:val="0"/>
          <w:kern w:val="2"/>
          <w:sz w:val="21"/>
          <w:szCs w:val="21"/>
          <w:lang w:val="en-US" w:eastAsia="zh-CN" w:bidi="ar-SA"/>
        </w:rPr>
        <w:fldChar w:fldCharType="end"/>
      </w:r>
    </w:p>
    <w:p w14:paraId="6E5F1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[53]国家标准化管理委员会. 电动汽车用动力蓄电池循环寿命要求及试验方法: GB/T 31484-2015[S]. 北京: 中国标准出版社, 2015.</w:t>
      </w:r>
    </w:p>
    <w:p w14:paraId="4A505D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[5</w:t>
      </w:r>
      <w:r>
        <w:rPr>
          <w:rFonts w:hint="eastAsia" w:ascii="Times New Roman" w:hAnsi="Times New Roman" w:eastAsiaTheme="minorEastAsia" w:cstheme="minorBidi"/>
          <w:b w:val="0"/>
          <w:kern w:val="2"/>
          <w:sz w:val="21"/>
          <w:szCs w:val="21"/>
          <w:lang w:val="en-US" w:eastAsia="zh-CN" w:bidi="ar-SA"/>
        </w:rPr>
        <w:t>4]LIU Y, ZHANG X, WANG J, et al. Dataset of mechanically induced thermal runaway measurement and severity level on Li-ion batteries[J]. Data in Brief, 2024, 54: 110576.https://www.sciencedirect.com/science/article/pii/S2352340924005766</w:t>
      </w:r>
    </w:p>
    <w:p w14:paraId="322D2B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w:t>
      </w:r>
      <w:r>
        <w:rPr>
          <w:rFonts w:hint="eastAsia" w:ascii="Times New Roman" w:hAnsi="Times New Roman" w:eastAsiaTheme="minorEastAsia" w:cstheme="minorBidi"/>
          <w:b w:val="0"/>
          <w:kern w:val="2"/>
          <w:sz w:val="21"/>
          <w:szCs w:val="21"/>
          <w:lang w:val="en-US" w:eastAsia="zh-CN" w:bidi="ar-SA"/>
        </w:rPr>
        <w:t xml:space="preserve">55]SOUTHWEST RESEARCH INSTITUTE. SAE J2464 testing for rechargeable energy storage systems[R/OL].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"https://www.swri.org/markets/automotive-transportation/automotive/battery-testing-research/sae-j2464-testing-rechargeable-energy-storage-systems"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https://www.swri.org/markets/automotive-transportation/automotive/battery-testing-research/sae-j2464-testing-rechargeable-energy-storage-systems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EC2E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[5</w:t>
      </w:r>
      <w:r>
        <w:rPr>
          <w:rFonts w:hint="eastAsia" w:ascii="Times New Roman" w:hAnsi="Times New Roman" w:eastAsiaTheme="minorEastAsia" w:cstheme="minorBidi"/>
          <w:b w:val="0"/>
          <w:kern w:val="2"/>
          <w:sz w:val="21"/>
          <w:szCs w:val="21"/>
          <w:lang w:val="en-US" w:eastAsia="zh-CN" w:bidi="ar-SA"/>
        </w:rPr>
        <w:t>6]SAE INTERNATIONAL. Electric and hybrid electric vehicle rechargeable energy storage system (RESS) safety and abuse testing: SAE J2464_202108[S]. Warrendale: SAE International, 2021.https://www.sae.org/standards/content/j2464_202108/</w:t>
      </w:r>
    </w:p>
    <w:p w14:paraId="0ABB2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[57]TESLA INC. 2023 Tesla impact report[R/OL]. (2024-05)[2025-04-25].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"https://www.tesla.com/ns_videos/2023-tesla-impact-report.pdf"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https://www.tesla.com/ns_videos/2023-tesla-impact-report.pdf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88D90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[58]TÜV SÜD. UN ECE R100 standard regulation[R/OL].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"https://www.tuvsud.com/en-us/industries/mobility-and-automotive/automotive-and-oem/automotive-testing-solutions/battery-testing/un-ece-r100"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https://www.tuvsud.com/en-us/industries/mobility-and-automotive/automotive-and-oem/automotive-testing-solutions/battery-testing/un-ece-r100</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4DA17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[59]TESLA INC. 4680 cell update[R/OL].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"https://www.tesla.com/blog/4680-cell-update"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https://www.tesla.com/blog/4680-cell-update</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B0252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[60]FREDRIKSSON J. Tesla ramps up dry electrode battery production[J/OL]. Electrek, 2023-02-15[2025-04-25].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"https://electrek.co/2023/02/15/tesla-dry-electrode-battery-production/"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https://electrek.co/2023/02/15/tesla-dry-electrode-battery-production/</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3D4A2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[61] LAMBERT F. Tesla’s silicon anode battery improvements explained[J/OL]. InsideEVs, 2023-01-10[2025-04-25].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"https://insideevs.com/news/623456/tesla-silicon-anode-battery-improvements/"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https://insideevs.com/news/623456/tesla-silicon-anode-battery-improvements/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59B9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[6</w:t>
      </w:r>
      <w:r>
        <w:rPr>
          <w:rFonts w:hint="eastAsia" w:ascii="Times New Roman" w:hAnsi="Times New Roman" w:cstheme="minorBidi"/>
          <w:b w:val="0"/>
          <w:kern w:val="2"/>
          <w:sz w:val="21"/>
          <w:szCs w:val="21"/>
          <w:lang w:val="en-US" w:eastAsia="zh-CN" w:bidi="ar-SA"/>
        </w:rPr>
        <w:t>2</w:t>
      </w:r>
      <w:r>
        <w:rPr>
          <w:rFonts w:hint="eastAsia" w:ascii="Times New Roman" w:hAnsi="Times New Roman" w:eastAsiaTheme="minorEastAsia" w:cstheme="minorBidi"/>
          <w:b w:val="0"/>
          <w:kern w:val="2"/>
          <w:sz w:val="21"/>
          <w:szCs w:val="21"/>
          <w:lang w:val="en-US" w:eastAsia="zh-CN" w:bidi="ar-SA"/>
        </w:rPr>
        <w:t xml:space="preserve">] REUTERS. Tesla shifts to LFP batteries for cost, sustainability[J/OL]. Reuters, 2023-03-10[2025-04-25].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"https://www.reuters.com/business/autos-transportation/tesla-shifts-lfp-batteries-cost-sustainability-2023-03-10/"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https://www.reuters.com/business/autos-transportation/tesla-shifts-lfp-batteries-cost-sustainability-2023-03-10/</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38873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[6</w:t>
      </w:r>
      <w:r>
        <w:rPr>
          <w:rFonts w:hint="eastAsia" w:ascii="Times New Roman" w:hAnsi="Times New Roman" w:cstheme="minorBidi"/>
          <w:b w:val="0"/>
          <w:kern w:val="2"/>
          <w:sz w:val="21"/>
          <w:szCs w:val="21"/>
          <w:lang w:val="en-US" w:eastAsia="zh-CN" w:bidi="ar-SA"/>
        </w:rPr>
        <w:t>3</w:t>
      </w:r>
      <w:r>
        <w:rPr>
          <w:rFonts w:hint="eastAsia" w:ascii="Times New Roman" w:hAnsi="Times New Roman" w:eastAsiaTheme="minorEastAsia" w:cstheme="minorBidi"/>
          <w:b w:val="0"/>
          <w:kern w:val="2"/>
          <w:sz w:val="21"/>
          <w:szCs w:val="21"/>
          <w:lang w:val="en-US" w:eastAsia="zh-CN" w:bidi="ar-SA"/>
        </w:rPr>
        <w:t xml:space="preserve">] GARCIA E. Tesla structural battery pack explained[J/OL]. Teslarati, 2023-04-20[2025-04-25].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"https://www.teslarati.com/tesla-structural-battery-pack-explained/"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https://www.teslarati.com/tesla-structural-battery-pack-explained/</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9AE2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[64]SIEMENS SOFTWARE. Battery pack design for optimal performance[R/OL].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"https://resources.sw.siemens.com/en-US/white-paper-battery-pack-design/"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https://resources.sw.siemens.com/en-US/white-paper-battery-pack-design/</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B599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[65]SIEMENS GLOBAL. Whitepaper: Battery cell production[R/OL].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"https://www.siemens.com/global/en/products/buildings/contact/whitepaper-battery-cell-production.html"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https://www.siemens.com/global/en/products/buildings/contact/whitepaper-battery-cell-production.html</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12348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[66]SIEMENS XCELERATOR. Designing tomorrow's Li-ion battery[R/OL].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"https://xcelerator.siemens.com/global/en/industries/battery-manufacturing/whitepaper-li-ion-battery.html"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https://xcelerator.siemens.com/global/en/industries/battery-manufacturing/whitepaper-li-ion-battery.html</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F8AFD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[67]SIEMENS CHINA. 电池制造设备工程解决方案[R/OL].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"https://www.siemens.com/cn/zh/markets/battery-manufacturing.html"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https://www.siemens.com/cn/zh/markets/battery-manufacturing.html</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E3BB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[68]SIEMENS GLOBAL. Battery industry automation system: The road to standardization[R/OL].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"https://assets.new.siemens.com/siemens/assets/api/uuid:34ad237f-e642-48e5-974d-939de30b1dab/battery-automation-system.pdf"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https://assets.new.siemens.com/siemens/assets/api/uuid:34ad237f-e642-48e5-974d-939de30b1dab/battery-automation-system.pdf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31B0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[69]SIEMENS SOFTWARE. Simcenter 在电池开发中的应用[R/OL].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"https://resources.sw.siemens.com/zh-CN/white-paper-unlock-next-gen-ev-battery-design-with-digital-twin-technology/"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https://resources.sw.siemens.com/zh-CN/white-paper-unlock-next-gen-ev-battery-design-with-digital-twin-technology/</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3BA71D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[70]</w:t>
      </w:r>
      <w:r>
        <w:rPr>
          <w:rFonts w:hint="eastAsia" w:ascii="Times New Roman" w:hAnsi="Times New Roman" w:eastAsiaTheme="minorEastAsia" w:cstheme="minorBidi"/>
          <w:b w:val="0"/>
          <w:kern w:val="2"/>
          <w:sz w:val="21"/>
          <w:szCs w:val="21"/>
          <w:lang w:val="en-US" w:eastAsia="zh-CN" w:bidi="ar-SA"/>
        </w:rPr>
        <w:t xml:space="preserve">AIRBUS. CityAirbus: NextGen urban air mobility[R/OL]. (2021-09)[2025-04-25].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"https://www.airbus.com/en/newsroom/press-releases/2021-09-airbus-reveals-the-next-generation-of-cityairbus"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https://www.airbus.com/en/newsroom/press-releases/2021-09-airbus-reveals-the-next-generation-of-cityairbus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5F362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[71]</w:t>
      </w:r>
      <w:r>
        <w:rPr>
          <w:rFonts w:hint="eastAsia" w:ascii="Times New Roman" w:hAnsi="Times New Roman" w:eastAsiaTheme="minorEastAsia" w:cstheme="minorBidi"/>
          <w:b w:val="0"/>
          <w:kern w:val="2"/>
          <w:sz w:val="21"/>
          <w:szCs w:val="21"/>
          <w:lang w:val="en-US" w:eastAsia="zh-CN" w:bidi="ar-SA"/>
        </w:rPr>
        <w:t xml:space="preserve">AIRBUS. Zephyr: High-altitude platform station[R/OL].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"https://www.airbus.com/en/products-services/defence/uas/zephyr"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https://www.airbus.com/en/products-services/defence/uas/zephyr</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10B1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[72]</w:t>
      </w:r>
      <w:r>
        <w:rPr>
          <w:rFonts w:hint="eastAsia" w:ascii="Times New Roman" w:hAnsi="Times New Roman" w:eastAsiaTheme="minorEastAsia" w:cstheme="minorBidi"/>
          <w:b w:val="0"/>
          <w:kern w:val="2"/>
          <w:sz w:val="21"/>
          <w:szCs w:val="21"/>
          <w:lang w:val="en-US" w:eastAsia="zh-CN" w:bidi="ar-SA"/>
        </w:rPr>
        <w:t xml:space="preserve">DUKOSI LTD. Maximizing safety and reliability in batteries for eVTOL aircraft[R/OL]. (2025-02)[2025-04-25].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"https://www.dukosi.com/app/uploads/2025/02/Maximizing_Safety_and_Reliability_in_Batteries_for_eVTOL_aircraft_Blog_10_February_2025.pdf"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https://www.dukosi.com/app/uploads/2025/02/Maximizing_Safety_and_Reliability_in_Batteries_for_eVTOL_aircraft_Blog_10_February_2025.pdf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53648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[73]OPPO. OPPO launches multiple breakthrough flash charge technologies[R/OL]. (2022-02)[2025-04-25].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"https://www.oppo.com/en/newsroom/press/oppo-mwc-2022-supervooc/"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https://www.oppo.com/en/newsroom/press/oppo-mwc-2022-supervooc/</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AE2E7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[74]OPPO. OPPO showcases Find X5 series and 240W SUPERVOOC flash[R/OL]. (2022-02)[2025-04-25].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"https://www.oppo.com/en/newsroom/press/oppo-mwc-2022-240w-supervooc-cpe/"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https://www.oppo.com/en/newsroom/press/oppo-mwc-2022-240w-supervooc-cpe/</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C2CFF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[75] OPPO. Flash charging technical paper[R/OL]. (2022)[2025-04-25].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"https://www.oppo.com/content/dam/oppo/en/mkt/newsroom/story/flash-charging-technical-pape/OPPO Flash Charging Technical Paper.pdf"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https://www.oppo.com/content/dam/oppo/en/mkt/newsroom/story/flash-charging-technical-pape/OPPO%20Flash%20Charging%20Technical%20Paper.pdf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0521D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[76]CHARGERLAB. Teardown of vivo/iQOO 120W flash charge GaN charger V12060L1B0-CN[R/OL].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"https://www.chargerlab.com/teardown-of-vivo-iqoo-120w-flash-charge-gan-charger-v12060l1b0-cn/"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https://www.chargerlab.com/teardown-of-vivo-iqoo-120w-flash-charge-gan-charger-v12060l1b0-cn/</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E8F3B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[77]充电头网. 拆解报告：vivo 120W氮化镓闪充充电器V12060L1H0-CN[R/OL].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"https://www.chongdiantou.com/archives/376493.html"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https://www.chongdiantou.com/archives/376493.html</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1EE95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[78]中国信息通信研究院泰尔终端实验室. 融合快速充电（UFCS）技术和产业发展白皮书[R/OL]. (2024-03)[2025-04-25].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"https://www.taf.org.cn/upload/notice/2024-0312-162309-1385874608.pdf"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https://www.taf.org.cn/upload/notice/2024-0312-162309-1385874608.pdf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195044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[79] CAREER ENGINE. 泰尔终端实验室参加2023（春季）亚洲充电展[R/OL].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"https://posts.careerengine.us/redirect/referral/id/65742e7b4c8973496f0cc458"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https://posts.careerengine.us/redirect/referral/id/65742e7b4c8973496f0cc458</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BA249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[80]U.S. DEPARTMENT OF ENERGY. Battery energy storage systems report[R/OL]. (2025-01)[2025-04-25].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"https://www.energy.gov/sites/default/files/2025-01/BESSIE_supply-chain-battery-report_111124_OPENRELEASE_SJ_1.pdf"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https://www.energy.gov/sites/default/files/2025-01/BESSIE_supply-chain-battery-report_111124_OPENRELEASE_SJ_1.pdf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1D3F15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[81] U.S. DEPARTMENT OF ENERGY. Storage innovations 2030[R/OL]. (2023-07)[2025-04-25].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"https://www.energy.gov/oe/storage-innovations-2030"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https://www.energy.gov/oe/storage-innovations-2030</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FA76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[82] U.S. DEPARTMENT OF ENERGY. Battery workforce initiative[R/OL].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"https://netl.doe.gov/bwi"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https://netl.doe.gov/bwi</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1B4B30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[83]NAVAL SEA SYSTEMS COMMAND. S9310-AQ-SAF-010: Naval lithium battery safety program technical manual (Rev 3)[R/OL]. (2021)[2025-04-25].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"https://navysbir.us/n21_1/Topic-N211-033-Reference_Document_S9310-AQ-SAF-010-Rev3.pdf"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https://navysbir.us/n21_1/Topic-N211-033-Reference_Document_S9310-AQ-SAF-010-Rev3.pdf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869EF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[84]NAVAL SEA SYSTEMS COMMAND. Engineering process guide: Lithium battery safety program[R/OL].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"https://navysbir.us/sec/docs/C36_0543-1325-23_EPG_Lithium.pdf"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https://navysbir.us/sec/docs/C36_0543-1325-23_EPG_Lithium.pdf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6D89A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[85]O'ROURKE J, KANG J, PEREZ A. Lithium-ion battery fire suppression in submarine battery compartments[J/OL]. Fire Technology, 2020, 56(6): 2567-2589.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"https://www.researchgate.net/publication/344448031_Lithium-ion_Battery_Fire_Suppression_in_Submarine_Battery_Compartments"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https://www.researchgate.net/publication/344448031_Lithium-ion_Battery_Fire_Suppression_in_Submarine_Battery_Compartments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0006D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[86] EURO SD. Developments in lithium-ion batteries and AIP systems for submarines[R/OL]. (2023-12)[2025-04-25].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"https://euro-sd.com/2023/12/articles/34972/developments-in-lithium-ion-batteries-and-aip-systems-for-submarines/"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https://euro-sd.com/2023/12/articles/34972/developments-in-lithium-ion-batteries-and-aip-systems-for-submarines/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9930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[87] MILITARY AEROSPACE. Safety-critical lithium-ion (Li-ion) batteries[R/OL]. (2023-08)[2025-04-25].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"https://www.militaryaerospace.com/power/article/14297884/safety-critical-lithium-ion-li-ion-batteries"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https://www.militaryaerospace.com/power/article/14297884/safety-critical-lithium-ion-li-ion-batteries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ADF12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[88] 王飞, 赵静, 刘洋, 等. 基于遗传算法优化的随机森林回归算法预测锂离子电池剩余使用寿命[J]. Journal of Power Sources, 2023, 580: 233714.</w:t>
      </w:r>
    </w:p>
    <w:p w14:paraId="5033D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"https://www.sciencedirect.com/science/article/pii/S0378775323008352"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https://www.sciencedirect.com/science/article/pii/S0378775323008352</w:t>
      </w:r>
      <w:r>
        <w:rPr>
          <w:rFonts w:hint="eastAsia" w:ascii="Times New Roman" w:hAnsi="Times New Roman" w:eastAsiaTheme="minorEastAsia" w:cstheme="minorBidi"/>
          <w:b w:val="0"/>
          <w:kern w:val="2"/>
          <w:sz w:val="21"/>
          <w:szCs w:val="21"/>
          <w:lang w:val="en-US" w:eastAsia="zh-CN" w:bidi="ar-SA"/>
        </w:rPr>
        <w:fldChar w:fldCharType="end"/>
      </w:r>
    </w:p>
    <w:p w14:paraId="3C340E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美国国家航空航天局. 2024 年小型航天器技术现状报告[R/OL]. (2025-02)[2025-04-25].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"https://www.nasa.gov/wp-content/uploads/2025/02/soa-2024.pdf"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https://www.nasa.gov/wp-content/uploads/2025/02/soa-2024.pdf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3412B3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美国国家航空航天局. 2024 年技术分类报告[R/OL]. (2024-07)[2025-04-25].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"https://www.nasa.gov/wp-content/uploads/2024/10/nasa-2024-technology-taxonomy-report-low-resolution-final-20240730-tagged.pdf"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https://www.nasa.gov/wp-content/uploads/2024/10/nasa-2024-technology-taxonomy-report-low-resolution-final-20240730-tagged.pdf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D9FCA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美国国家航空航天局国家工程安全中心. 2024 年技术更新报告[R/OL]. (2024-12)[2025-04-25].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"https://ntrs.nasa.gov/api/citations/20240014247/downloads/TechUp_2024_120224v2.pdf"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https://ntrs.nasa.gov/api/citations/20240014247/downloads/TechUp_2024_120224v2.pdf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36E5C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FERNÁNDEZ F, MOURA J, SCHMIDT M. 锂离子电池管理策略：欧洲空间操作中心任务[J/OL]. AIAA SPACE 2014 Conference and Exposition, 2014: 1883.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"https://www.researchgate.net/publication/269048909_Lithium_Ion_Battery_Management_Strategies_for_European_Space_Operations_Centre_Missions"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https://www.researchgate.net/publication/269048909_Lithium_Ion_Battery_Management_Strategies_for_European_Space_Operations_Centre_Missions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33DD76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KÖHLER J, LAZAR M, AAGAARD S. CubeSat 和小型卫星电池技术综述[J/OL]. Energies, 2020, 13(16): 4097.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"https://www.researchgate.net/publication/343521577_A_Review_of_Battery_Technology_in_CubeSats_and_Small_Satellite_Solutions"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https://www.researchgate.net/publication/343521577_A_Review_of_Battery_Technology_in_CubeSats_and_Small_Satellite_Solutions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C6527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SCHMIDT M, FISCHER H, KÖHLER J. 空间应用中锂离子电池的耐久性[J]. Journal of Power Sources, 2023, 565: 230625.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"https://www.sciencedirect.com/science/article/abs/pii/S0273117723000625"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https://www.sciencedirect.com/science/article/abs/pii/S0273117723000625</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3A1DF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cstheme="minorBidi"/>
          <w:b w:val="0"/>
          <w:kern w:val="2"/>
          <w:sz w:val="21"/>
          <w:szCs w:val="21"/>
          <w:lang w:val="en-US" w:eastAsia="zh-CN" w:bidi="ar-SA"/>
        </w:rPr>
        <w:t>[95]</w:t>
      </w:r>
      <w:r>
        <w:rPr>
          <w:rFonts w:hint="eastAsia" w:ascii="Times New Roman" w:hAnsi="Times New Roman" w:eastAsiaTheme="minorEastAsia" w:cstheme="minorBidi"/>
          <w:b w:val="0"/>
          <w:kern w:val="2"/>
          <w:sz w:val="21"/>
          <w:szCs w:val="21"/>
          <w:lang w:val="en-US" w:eastAsia="zh-CN" w:bidi="ar-SA"/>
        </w:rPr>
        <w:t xml:space="preserve">太原理工大学. 中国南极秦岭站新能源系统建设启动[R/OL]. (2023-03-26)[2025-04-25].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"https://www.tyut.edu.cn/info/1029/65391.htm"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https://www.tyut.edu.cn/info/1029/65391.htm</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6ADC2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[96]国际宇航联合会. 第 74 届国际宇航大会（IAC 2023）[R/OL].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"https://www.iafastro.org/events/iac/international-astronautical-congress-2023/"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https://www.iafastro.org/events/iac/international-astronautical-congress-2023/</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ED3B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[97]国际宇航联合会. IAC 2023 技术论文集计划[R/OL].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"https://www.iafastro.org/assets/files/publications/iac-publications/2023/IAC2023_FP_Technical-Programme-Constantin-WEB.pdf"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https://www.iafastro.org/assets/files/publications/iac-publications/2023/IAC2023_FP_Technical-Programme-Constantin-WEB.pdf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ECB6D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[98] MUSK E. 埃隆·马斯克在 IAC 2023 上的 SpaceX 更新[EB/OL]. (2023-10)[2025-04-25].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"https://www.youtube.com/watch?v=pm7TyQs5Adc"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https://www.youtube.com/watch?v=pm7TyQs5Adc</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31ABD2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[99]极地研究编辑部. 《极地研究》2023年第35卷第4期[R/OL]. (2023)[2025-04-25].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"https://journal.chinare.org.cn/CN/volumn/volumn_1636.shtml"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https://journal.chinare.org.cn/CN/volumn/volumn_163</w:t>
      </w:r>
      <w:r>
        <w:rPr>
          <w:rFonts w:hint="eastAsia" w:ascii="Times New Roman" w:hAnsi="Times New Roman" w:cstheme="minorBidi"/>
          <w:b w:val="0"/>
          <w:kern w:val="2"/>
          <w:sz w:val="21"/>
          <w:szCs w:val="21"/>
          <w:lang w:val="en-US" w:eastAsia="zh-CN" w:bidi="ar-SA"/>
        </w:rPr>
        <w:t>4</w:t>
      </w:r>
      <w:r>
        <w:rPr>
          <w:rFonts w:hint="eastAsia" w:ascii="Times New Roman" w:hAnsi="Times New Roman" w:eastAsiaTheme="minorEastAsia" w:cstheme="minorBidi"/>
          <w:b w:val="0"/>
          <w:kern w:val="2"/>
          <w:sz w:val="21"/>
          <w:szCs w:val="21"/>
          <w:lang w:val="en-US" w:eastAsia="zh-CN" w:bidi="ar-SA"/>
        </w:rPr>
        <w:t>.shtml</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42BEA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[100]NASA Jet Propulsion Laboratory. JPL Official Website [R/OL]. (2025) [2025-04-25].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"https://www.jpl.nasa.gov/"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https://www.jpl.nasa.gov/</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1B8E18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[101]美国国家航空航天局. Perseverance 火星车组件[R/OL]. (2025)[2025-04-25].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"https://science.nasa.gov/mission/mars-2020-perseverance/rover-components/"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https://science.nasa.gov/mission/mars-2020-perseverance/rover-components/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CD4AB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[102] 美国国家航空航天局. 火星 Perseverance 火星车和 Ingenuity 直升机的电池系统设计、测试和操作[R/OL]. (2024-01)[2025-04-25].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"https://www.nasa.gov/wp-content/uploads/2024/01/battery-system-design-testing-and-operation-for-the-mars-perseverance-rover-and-ingenuity-helicopter.pdf"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https://www.nasa.gov/wp-content/uploads/2024/01/battery-system-design-testing-and-operation-for-the-mars-perseverance-rover-and-ingenuity-helicopter.pdf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74C84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[103] 美国国家航空航天局. Perseverance 火星车技术概述[R/OL]. (2025)[2025-04-25].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"https://mars.nasa.gov/mars2020/mission/technology/"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https://mars.nasa.gov/mars2020/mission/technology/</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85CF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[104]行星数据系统. 火星 2020 Perseverance 火星车任务数据[R/OL]. (2024-03-29)[2025-04-25].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"https://pds-geosciences.wustl.edu/missions/mars2020/"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https://pds-geosciences.wustl.edu/missions/mars2020/</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218959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ascii="Times New Roman" w:hAnsi="Times New Roman" w:cstheme="minorBidi"/>
          <w:b w:val="0"/>
          <w:kern w:val="2"/>
          <w:sz w:val="21"/>
          <w:szCs w:val="21"/>
          <w:lang w:val="en-US" w:eastAsia="zh-CN" w:bidi="ar-SA"/>
        </w:rPr>
        <w:t>105</w:t>
      </w:r>
      <w:r>
        <w:rPr>
          <w:rFonts w:hint="eastAsia" w:ascii="Times New Roman" w:hAnsi="Times New Roman" w:eastAsiaTheme="minorEastAsia" w:cstheme="minorBidi"/>
          <w:b w:val="0"/>
          <w:kern w:val="2"/>
          <w:sz w:val="21"/>
          <w:szCs w:val="21"/>
          <w:lang w:val="en-US" w:eastAsia="zh-CN" w:bidi="ar-SA"/>
        </w:rPr>
        <w:t xml:space="preserve">] 美国国家航空航天局. 预后卓越中心数据集存储库[R/OL]. (2025)[2025-04-25].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"https://www.nasa.gov/intelligent-systems-division/discovery-and-systems-health/pcoe/pcoe-data-set-repository/"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https://www.nasa.gov/intelligent-systems-division/discovery-and-systems-health/pcoe/pcoe-data-set-repository/</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D5211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ascii="Times New Roman" w:hAnsi="Times New Roman" w:cstheme="minorBidi"/>
          <w:b w:val="0"/>
          <w:kern w:val="2"/>
          <w:sz w:val="21"/>
          <w:szCs w:val="21"/>
          <w:lang w:val="en-US" w:eastAsia="zh-CN" w:bidi="ar-SA"/>
        </w:rPr>
        <w:t>106</w:t>
      </w:r>
      <w:r>
        <w:rPr>
          <w:rFonts w:hint="eastAsia" w:ascii="Times New Roman" w:hAnsi="Times New Roman" w:eastAsiaTheme="minorEastAsia" w:cstheme="minorBidi"/>
          <w:b w:val="0"/>
          <w:kern w:val="2"/>
          <w:sz w:val="21"/>
          <w:szCs w:val="21"/>
          <w:lang w:val="en-US" w:eastAsia="zh-CN" w:bidi="ar-SA"/>
        </w:rPr>
        <w:t xml:space="preserve">] 美国国家航空航天局. 锂离子电池老化数据集[R/OL]. (2025)[2025-04-25].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"https://catalog.data.gov/dataset/li-ion-battery-aging-datasets"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https://catalog.data.gov/dataset/li-ion-battery-aging-datasets</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55EF97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ascii="Times New Roman" w:hAnsi="Times New Roman" w:cstheme="minorBidi"/>
          <w:b w:val="0"/>
          <w:kern w:val="2"/>
          <w:sz w:val="21"/>
          <w:szCs w:val="21"/>
          <w:lang w:val="en-US" w:eastAsia="zh-CN" w:bidi="ar-SA"/>
        </w:rPr>
        <w:t>107</w:t>
      </w:r>
      <w:r>
        <w:rPr>
          <w:rFonts w:hint="eastAsia" w:ascii="Times New Roman" w:hAnsi="Times New Roman" w:eastAsiaTheme="minorEastAsia" w:cstheme="minorBidi"/>
          <w:b w:val="0"/>
          <w:kern w:val="2"/>
          <w:sz w:val="21"/>
          <w:szCs w:val="21"/>
          <w:lang w:val="en-US" w:eastAsia="zh-CN" w:bidi="ar-SA"/>
        </w:rPr>
        <w:t xml:space="preserve">] 美国国家航空航天局. 锂离子电池加速寿命测试数据集[R/OL]. (2023-11-30)[2025-04-25].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"https://ntrs.nasa.gov/citations/20230014884"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https://ntrs.nasa.gov/citations/20230014884</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37B4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[108] 美国国家航空航天局. NASA 开放数据门户[R/OL]. (2025)[2025-04-25].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"https://data.nasa.gov/"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https://data.nasa.gov/</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C2D64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[109] 马里兰大学. 锂离子电池在火星探测车中的极端环境操作[R/OL]. (2021-12-10)[2025-04-25].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"https://creb.umd.edu/sites/creb.umd.edu/files/HermanMarshall-10DEC2021-CREB.pdf"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https://creb.umd.edu/sites/creb.umd.edu/files/HermanMarshall-10DEC2021-CREB.pdf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3BF19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[110]华为技术有限公司. 智能组串式储能解决方案[R/OL]. (2025)[2025-04-26]. https://solar.huawei.com/cn/professionals/ess</w:t>
      </w:r>
    </w:p>
    <w:p w14:paraId="53441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[111] </w:t>
      </w:r>
      <w:r>
        <w:rPr>
          <w:rFonts w:hint="eastAsia" w:ascii="Times New Roman" w:hAnsi="Times New Roman" w:cstheme="minorBidi"/>
          <w:b w:val="0"/>
          <w:kern w:val="2"/>
          <w:sz w:val="21"/>
          <w:szCs w:val="21"/>
          <w:lang w:val="en-US" w:eastAsia="zh-CN" w:bidi="ar-SA"/>
        </w:rPr>
        <w:t>碳索光伏</w:t>
      </w:r>
      <w:r>
        <w:rPr>
          <w:rFonts w:hint="eastAsia" w:ascii="Times New Roman" w:hAnsi="Times New Roman" w:eastAsiaTheme="minorEastAsia" w:cstheme="minorBidi"/>
          <w:b w:val="0"/>
          <w:kern w:val="2"/>
          <w:sz w:val="21"/>
          <w:szCs w:val="21"/>
          <w:lang w:val="en-US" w:eastAsia="zh-CN" w:bidi="ar-SA"/>
        </w:rPr>
        <w:t xml:space="preserve">网. 安徽金寨光伏储能项目进展[R/OL]. (2023-09-27)[2025-04-26].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"https://news.solarbe.com/202110/25/345402.html" </w:instrText>
      </w:r>
      <w:r>
        <w:rPr>
          <w:rFonts w:hint="eastAsia" w:ascii="Times New Roman" w:hAnsi="Times New Roman" w:eastAsiaTheme="minorEastAsia" w:cstheme="minorBidi"/>
          <w:b w:val="0"/>
          <w:kern w:val="2"/>
          <w:sz w:val="21"/>
          <w:szCs w:val="21"/>
          <w:lang w:val="en-US" w:eastAsia="zh-CN" w:bidi="ar-SA"/>
        </w:rPr>
        <w:fldChar w:fldCharType="separate"/>
      </w:r>
      <w:r>
        <w:rPr>
          <w:rStyle w:val="6"/>
          <w:rFonts w:hint="eastAsia" w:ascii="Times New Roman" w:hAnsi="Times New Roman" w:eastAsiaTheme="minorEastAsia" w:cstheme="minorBidi"/>
          <w:b w:val="0"/>
          <w:kern w:val="2"/>
          <w:sz w:val="21"/>
          <w:szCs w:val="21"/>
          <w:lang w:val="en-US" w:eastAsia="zh-CN" w:bidi="ar-SA"/>
        </w:rPr>
        <w:t>https://news.solarbe.com/202110/25/345402.html</w:t>
      </w:r>
      <w:r>
        <w:rPr>
          <w:rFonts w:hint="eastAsia" w:ascii="Times New Roman" w:hAnsi="Times New Roman" w:eastAsiaTheme="minorEastAsia" w:cstheme="minorBidi"/>
          <w:b w:val="0"/>
          <w:kern w:val="2"/>
          <w:sz w:val="21"/>
          <w:szCs w:val="21"/>
          <w:lang w:val="en-US" w:eastAsia="zh-CN" w:bidi="ar-SA"/>
        </w:rPr>
        <w:fldChar w:fldCharType="end"/>
      </w:r>
    </w:p>
    <w:p w14:paraId="2750CB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[112] 王欣, 魏雪哲, 戴海峰, 等. 一种基于电化学阻抗谱的电动汽车锂离子电池管理系统[J]. IEEE Transactions on Power Electronics, 2022, 37(5): 5123-5136.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"https://ieeexplore.ieee.org/document/9595987"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https://ieeexplore.ieee.org/document/9595987</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689C5D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default"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[113]Stewart, I. The Lorenz attractor exists</w:t>
      </w:r>
      <w:r>
        <w:rPr>
          <w:rFonts w:hint="eastAsia" w:ascii="Times New Roman" w:hAnsi="Times New Roman" w:cstheme="minorBidi"/>
          <w:b w:val="0"/>
          <w:kern w:val="2"/>
          <w:sz w:val="21"/>
          <w:szCs w:val="21"/>
          <w:lang w:val="en-US" w:eastAsia="zh-CN" w:bidi="ar-SA"/>
        </w:rPr>
        <w:t>[J]</w:t>
      </w:r>
      <w:r>
        <w:rPr>
          <w:rFonts w:hint="eastAsia" w:ascii="Times New Roman" w:hAnsi="Times New Roman" w:eastAsiaTheme="minorEastAsia" w:cstheme="minorBidi"/>
          <w:b w:val="0"/>
          <w:kern w:val="2"/>
          <w:sz w:val="21"/>
          <w:szCs w:val="21"/>
          <w:lang w:val="en-US" w:eastAsia="zh-CN" w:bidi="ar-SA"/>
        </w:rPr>
        <w:t>.</w:t>
      </w:r>
      <w:r>
        <w:rPr>
          <w:rFonts w:hint="default" w:ascii="Times New Roman" w:hAnsi="Times New Roman" w:eastAsiaTheme="minorEastAsia" w:cstheme="minorBidi"/>
          <w:b w:val="0"/>
          <w:kern w:val="2"/>
          <w:sz w:val="21"/>
          <w:szCs w:val="21"/>
          <w:lang w:val="en-US" w:eastAsia="zh-CN" w:bidi="ar-SA"/>
        </w:rPr>
        <w:t xml:space="preserve"> Nature 406, 948–949 (2000). </w:t>
      </w:r>
      <w:r>
        <w:rPr>
          <w:rFonts w:hint="default" w:ascii="Times New Roman" w:hAnsi="Times New Roman" w:eastAsiaTheme="minorEastAsia" w:cstheme="minorBidi"/>
          <w:b w:val="0"/>
          <w:kern w:val="2"/>
          <w:sz w:val="21"/>
          <w:szCs w:val="21"/>
          <w:lang w:val="en-US" w:eastAsia="zh-CN" w:bidi="ar-SA"/>
        </w:rPr>
        <w:fldChar w:fldCharType="begin"/>
      </w:r>
      <w:r>
        <w:rPr>
          <w:rFonts w:hint="default" w:ascii="Times New Roman" w:hAnsi="Times New Roman" w:eastAsiaTheme="minorEastAsia" w:cstheme="minorBidi"/>
          <w:b w:val="0"/>
          <w:kern w:val="2"/>
          <w:sz w:val="21"/>
          <w:szCs w:val="21"/>
          <w:lang w:val="en-US" w:eastAsia="zh-CN" w:bidi="ar-SA"/>
        </w:rPr>
        <w:instrText xml:space="preserve"> HYPERLINK "https://doi.org/10.1038/35023206" </w:instrText>
      </w:r>
      <w:r>
        <w:rPr>
          <w:rFonts w:hint="default" w:ascii="Times New Roman" w:hAnsi="Times New Roman" w:eastAsiaTheme="minorEastAsia" w:cstheme="minorBidi"/>
          <w:b w:val="0"/>
          <w:kern w:val="2"/>
          <w:sz w:val="21"/>
          <w:szCs w:val="21"/>
          <w:lang w:val="en-US" w:eastAsia="zh-CN" w:bidi="ar-SA"/>
        </w:rPr>
        <w:fldChar w:fldCharType="separate"/>
      </w:r>
      <w:r>
        <w:rPr>
          <w:rStyle w:val="6"/>
          <w:rFonts w:hint="default" w:ascii="Times New Roman" w:hAnsi="Times New Roman" w:eastAsiaTheme="minorEastAsia" w:cstheme="minorBidi"/>
          <w:b w:val="0"/>
          <w:kern w:val="2"/>
          <w:sz w:val="21"/>
          <w:szCs w:val="21"/>
          <w:lang w:val="en-US" w:eastAsia="zh-CN" w:bidi="ar-SA"/>
        </w:rPr>
        <w:t>https://doi.org/10.1038/35023206</w:t>
      </w:r>
      <w:r>
        <w:rPr>
          <w:rFonts w:hint="default" w:ascii="Times New Roman" w:hAnsi="Times New Roman" w:eastAsiaTheme="minorEastAsia" w:cstheme="minorBidi"/>
          <w:b w:val="0"/>
          <w:kern w:val="2"/>
          <w:sz w:val="21"/>
          <w:szCs w:val="21"/>
          <w:lang w:val="en-US" w:eastAsia="zh-CN" w:bidi="ar-SA"/>
        </w:rPr>
        <w:fldChar w:fldCharType="end"/>
      </w:r>
    </w:p>
    <w:p w14:paraId="1E89E8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default"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[114] WANG X, LIU Z, ZHANG Y, et al. Reference frame selection on impedance modeling of V</w:t>
      </w:r>
      <w:r>
        <w:rPr>
          <w:rFonts w:hint="eastAsia" w:ascii="Times New Roman" w:hAnsi="Times New Roman" w:eastAsiaTheme="minorEastAsia" w:cstheme="minorBidi"/>
          <w:b w:val="0"/>
          <w:kern w:val="2"/>
          <w:sz w:val="21"/>
          <w:szCs w:val="21"/>
          <w:lang w:val="en-US" w:eastAsia="zh-CN" w:bidi="ar-SA"/>
        </w:rPr>
        <w:t>SCs with fundamental frequency dynamics[J]. IEEE Transactions on Power Electronics, 20</w:t>
      </w:r>
      <w:r>
        <w:rPr>
          <w:rFonts w:hint="eastAsia" w:ascii="Times New Roman" w:hAnsi="Times New Roman" w:eastAsiaTheme="minorEastAsia" w:cstheme="minorBidi"/>
          <w:b w:val="0"/>
          <w:kern w:val="2"/>
          <w:sz w:val="21"/>
          <w:szCs w:val="21"/>
          <w:lang w:val="en-US" w:eastAsia="zh-CN" w:bidi="ar-SA"/>
        </w:rPr>
        <w:t>25, 40(7): 10059</w:t>
      </w:r>
      <w:r>
        <w:rPr>
          <w:rFonts w:hint="default" w:ascii="Times New Roman" w:hAnsi="Times New Roman" w:eastAsiaTheme="minorEastAsia" w:cstheme="minorBidi"/>
          <w:b w:val="0"/>
          <w:kern w:val="2"/>
          <w:sz w:val="21"/>
          <w:szCs w:val="21"/>
          <w:lang w:val="en-US" w:eastAsia="zh-CN" w:bidi="ar-SA"/>
        </w:rPr>
        <w:t> - 10076</w:t>
      </w:r>
      <w:r>
        <w:rPr>
          <w:rFonts w:hint="eastAsia" w:ascii="Times New Roman" w:hAnsi="Times New Roman" w:eastAsiaTheme="minorEastAsia" w:cstheme="minorBidi"/>
          <w:b w:val="0"/>
          <w:kern w:val="2"/>
          <w:sz w:val="21"/>
          <w:szCs w:val="21"/>
          <w:lang w:val="en-US" w:eastAsia="zh-CN" w:bidi="ar-SA"/>
        </w:rPr>
        <w:t>.DOI:</w:t>
      </w:r>
      <w:r>
        <w:rPr>
          <w:rFonts w:hint="default" w:ascii="Times New Roman" w:hAnsi="Times New Roman" w:eastAsiaTheme="minorEastAsia" w:cstheme="minorBidi"/>
          <w:b w:val="0"/>
          <w:kern w:val="2"/>
          <w:sz w:val="21"/>
          <w:szCs w:val="21"/>
          <w:lang w:val="en-US" w:eastAsia="zh-CN" w:bidi="ar-SA"/>
        </w:rPr>
        <w:t> </w:t>
      </w:r>
      <w:r>
        <w:rPr>
          <w:rFonts w:hint="default" w:ascii="Times New Roman" w:hAnsi="Times New Roman" w:eastAsiaTheme="minorEastAsia" w:cstheme="minorBidi"/>
          <w:b w:val="0"/>
          <w:kern w:val="2"/>
          <w:sz w:val="21"/>
          <w:szCs w:val="21"/>
          <w:lang w:val="en-US" w:eastAsia="zh-CN" w:bidi="ar-SA"/>
        </w:rPr>
        <w:fldChar w:fldCharType="begin"/>
      </w:r>
      <w:r>
        <w:rPr>
          <w:rFonts w:hint="default" w:ascii="Times New Roman" w:hAnsi="Times New Roman" w:eastAsiaTheme="minorEastAsia" w:cstheme="minorBidi"/>
          <w:b w:val="0"/>
          <w:kern w:val="2"/>
          <w:sz w:val="21"/>
          <w:szCs w:val="21"/>
          <w:lang w:val="en-US" w:eastAsia="zh-CN" w:bidi="ar-SA"/>
        </w:rPr>
        <w:instrText xml:space="preserve"> HYPERLINK "https://doi.org/10.1109/TPEL.2025.3549635" \t "https://ieeexplore.ieee.org/abstract/document/_blank" </w:instrText>
      </w:r>
      <w:r>
        <w:rPr>
          <w:rFonts w:hint="default" w:ascii="Times New Roman" w:hAnsi="Times New Roman" w:eastAsiaTheme="minorEastAsia" w:cstheme="minorBidi"/>
          <w:b w:val="0"/>
          <w:kern w:val="2"/>
          <w:sz w:val="21"/>
          <w:szCs w:val="21"/>
          <w:lang w:val="en-US" w:eastAsia="zh-CN" w:bidi="ar-SA"/>
        </w:rPr>
        <w:fldChar w:fldCharType="separate"/>
      </w:r>
      <w:r>
        <w:rPr>
          <w:rFonts w:hint="default" w:ascii="Times New Roman" w:hAnsi="Times New Roman" w:eastAsiaTheme="minorEastAsia" w:cstheme="minorBidi"/>
          <w:b w:val="0"/>
          <w:kern w:val="2"/>
          <w:sz w:val="21"/>
          <w:szCs w:val="21"/>
          <w:lang w:val="en-US" w:eastAsia="zh-CN" w:bidi="ar-SA"/>
        </w:rPr>
        <w:t>10.1109/TPEL.2025.3549635</w:t>
      </w:r>
      <w:r>
        <w:rPr>
          <w:rFonts w:hint="default" w:ascii="Times New Roman" w:hAnsi="Times New Roman" w:eastAsiaTheme="minorEastAsia" w:cstheme="minorBidi"/>
          <w:b w:val="0"/>
          <w:kern w:val="2"/>
          <w:sz w:val="21"/>
          <w:szCs w:val="21"/>
          <w:lang w:val="en-US" w:eastAsia="zh-CN" w:bidi="ar-SA"/>
        </w:rPr>
        <w:fldChar w:fldCharType="end"/>
      </w:r>
    </w:p>
    <w:p w14:paraId="16CAFA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[115] LI J, CHEN H, WU Q, et al. Advanced MV power electronics for grid interactive applications: Modeling and control[J]. IEEE Transactions on Power Electronics, 2024, 39(10): 12183</w:t>
      </w:r>
      <w:r>
        <w:rPr>
          <w:rFonts w:hint="default" w:ascii="Times New Roman" w:hAnsi="Times New Roman" w:eastAsiaTheme="minorEastAsia" w:cstheme="minorBidi"/>
          <w:b w:val="0"/>
          <w:kern w:val="2"/>
          <w:sz w:val="21"/>
          <w:szCs w:val="21"/>
          <w:lang w:val="en-US" w:eastAsia="zh-CN" w:bidi="ar-SA"/>
        </w:rPr>
        <w:t> - 12184</w:t>
      </w:r>
      <w:r>
        <w:rPr>
          <w:rFonts w:hint="eastAsia" w:ascii="Times New Roman" w:hAnsi="Times New Roman" w:eastAsiaTheme="minorEastAsia" w:cstheme="minorBidi"/>
          <w:b w:val="0"/>
          <w:kern w:val="2"/>
          <w:sz w:val="21"/>
          <w:szCs w:val="21"/>
          <w:lang w:val="en-US" w:eastAsia="zh-CN" w:bidi="ar-SA"/>
        </w:rPr>
        <w:t>.DOI:</w:t>
      </w:r>
      <w:r>
        <w:rPr>
          <w:rFonts w:hint="default" w:ascii="Times New Roman" w:hAnsi="Times New Roman" w:eastAsiaTheme="minorEastAsia" w:cstheme="minorBidi"/>
          <w:b w:val="0"/>
          <w:kern w:val="2"/>
          <w:sz w:val="21"/>
          <w:szCs w:val="21"/>
          <w:lang w:val="en-US" w:eastAsia="zh-CN" w:bidi="ar-SA"/>
        </w:rPr>
        <w:t> </w:t>
      </w:r>
      <w:r>
        <w:rPr>
          <w:rFonts w:hint="default" w:ascii="Times New Roman" w:hAnsi="Times New Roman" w:eastAsiaTheme="minorEastAsia" w:cstheme="minorBidi"/>
          <w:b w:val="0"/>
          <w:kern w:val="2"/>
          <w:sz w:val="21"/>
          <w:szCs w:val="21"/>
          <w:lang w:val="en-US" w:eastAsia="zh-CN" w:bidi="ar-SA"/>
        </w:rPr>
        <w:fldChar w:fldCharType="begin"/>
      </w:r>
      <w:r>
        <w:rPr>
          <w:rFonts w:hint="default" w:ascii="Times New Roman" w:hAnsi="Times New Roman" w:eastAsiaTheme="minorEastAsia" w:cstheme="minorBidi"/>
          <w:b w:val="0"/>
          <w:kern w:val="2"/>
          <w:sz w:val="21"/>
          <w:szCs w:val="21"/>
          <w:lang w:val="en-US" w:eastAsia="zh-CN" w:bidi="ar-SA"/>
        </w:rPr>
        <w:instrText xml:space="preserve"> HYPERLINK "https://doi.org/10.1109/TPEL.2024.3440429" \t "https://ieeexplore.ieee.org/document/_blank" </w:instrText>
      </w:r>
      <w:r>
        <w:rPr>
          <w:rFonts w:hint="default" w:ascii="Times New Roman" w:hAnsi="Times New Roman" w:eastAsiaTheme="minorEastAsia" w:cstheme="minorBidi"/>
          <w:b w:val="0"/>
          <w:kern w:val="2"/>
          <w:sz w:val="21"/>
          <w:szCs w:val="21"/>
          <w:lang w:val="en-US" w:eastAsia="zh-CN" w:bidi="ar-SA"/>
        </w:rPr>
        <w:fldChar w:fldCharType="separate"/>
      </w:r>
      <w:r>
        <w:rPr>
          <w:rFonts w:hint="default" w:ascii="Times New Roman" w:hAnsi="Times New Roman" w:eastAsiaTheme="minorEastAsia" w:cstheme="minorBidi"/>
          <w:b w:val="0"/>
          <w:kern w:val="2"/>
          <w:sz w:val="21"/>
          <w:szCs w:val="21"/>
          <w:lang w:val="en-US" w:eastAsia="zh-CN" w:bidi="ar-SA"/>
        </w:rPr>
        <w:t>10.1109/TPEL.2024.3440429</w:t>
      </w:r>
      <w:r>
        <w:rPr>
          <w:rFonts w:hint="default" w:ascii="Times New Roman" w:hAnsi="Times New Roman" w:eastAsiaTheme="minorEastAsia" w:cstheme="minorBidi"/>
          <w:b w:val="0"/>
          <w:kern w:val="2"/>
          <w:sz w:val="21"/>
          <w:szCs w:val="21"/>
          <w:lang w:val="en-US" w:eastAsia="zh-CN" w:bidi="ar-SA"/>
        </w:rPr>
        <w:fldChar w:fldCharType="end"/>
      </w:r>
    </w:p>
    <w:p w14:paraId="7206B966">
      <w:pPr>
        <w:pStyle w:val="2"/>
        <w:keepNext w:val="0"/>
        <w:keepLines w:val="0"/>
        <w:widowControl/>
        <w:suppressLineNumbers w:val="0"/>
        <w:spacing w:before="0" w:beforeAutospacing="1" w:after="0" w:afterAutospacing="1"/>
        <w:ind w:left="0" w:right="0"/>
        <w:rPr>
          <w:rFonts w:hint="default"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[116] RÖSSLER O E. An equation for continuous chaos[J]. Physics Letters A, 1976, 57(5): 397-398.</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"https://doi.org/10.1016/0375-9601(76)90101-8" \o "Persistent link using digital object identifier" \t "https://www.sciencedirect.com/science/article/pii/_blank" </w:instrText>
      </w:r>
      <w:r>
        <w:rPr>
          <w:rFonts w:hint="eastAsia" w:ascii="Times New Roman" w:hAnsi="Times New Roman" w:eastAsiaTheme="minorEastAsia" w:cstheme="minorBidi"/>
          <w:b w:val="0"/>
          <w:kern w:val="2"/>
          <w:sz w:val="21"/>
          <w:szCs w:val="21"/>
          <w:lang w:val="en-US" w:eastAsia="zh-CN" w:bidi="ar-SA"/>
        </w:rPr>
        <w:fldChar w:fldCharType="separate"/>
      </w:r>
      <w:r>
        <w:rPr>
          <w:rFonts w:hint="default" w:ascii="Times New Roman" w:hAnsi="Times New Roman" w:eastAsiaTheme="minorEastAsia" w:cstheme="minorBidi"/>
          <w:b w:val="0"/>
          <w:kern w:val="2"/>
          <w:sz w:val="21"/>
          <w:szCs w:val="21"/>
          <w:lang w:val="en-US" w:eastAsia="zh-CN" w:bidi="ar-SA"/>
        </w:rPr>
        <w:t>https://doi.org/10.1016/0375-9601(76)90101-8</w:t>
      </w:r>
      <w:r>
        <w:rPr>
          <w:rFonts w:hint="default" w:ascii="Times New Roman" w:hAnsi="Times New Roman" w:eastAsiaTheme="minorEastAsia" w:cstheme="minorBidi"/>
          <w:b w:val="0"/>
          <w:kern w:val="2"/>
          <w:sz w:val="21"/>
          <w:szCs w:val="21"/>
          <w:lang w:val="en-US" w:eastAsia="zh-CN" w:bidi="ar-SA"/>
        </w:rPr>
        <w:fldChar w:fldCharType="end"/>
      </w:r>
    </w:p>
    <w:p w14:paraId="78956747">
      <w:pPr>
        <w:pStyle w:val="2"/>
        <w:keepNext w:val="0"/>
        <w:keepLines w:val="0"/>
        <w:widowControl/>
        <w:suppressLineNumbers w:val="0"/>
        <w:spacing w:before="0" w:beforeAutospacing="1" w:after="0" w:afterAutospacing="1"/>
        <w:ind w:left="0" w:right="0"/>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[117] 南方电网电力科技股份有限公司. 南方电网电力科技股份有限公司2023年年度报告[R/OL].(2024-03-30)[2025-04-26].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"https://www.sse.com.cn/disclosure/listedinfo/announcement/c/new/2024-03-30/688248_20240330_WGF8.pdf"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https://www.sse.com.cn/disclosure/listedinfo/announcement/c/new/2024-03-30/688248_20240330_WGF8.pdf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p w14:paraId="098DFD01">
      <w:pPr>
        <w:pStyle w:val="2"/>
        <w:keepNext w:val="0"/>
        <w:keepLines w:val="0"/>
        <w:widowControl/>
        <w:suppressLineNumbers w:val="0"/>
        <w:spacing w:before="0" w:beforeAutospacing="1" w:after="0" w:afterAutospacing="1"/>
        <w:ind w:left="0" w:right="0"/>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 xml:space="preserve">[118] 南方电网储能股份有限公司. 南方电网储能股份有限公司2023年年度报告[R/OL]. (2024-03-30)[2025-04-26].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"https://www.sse.com.cn/disclosure/listedinfo/announcement/c/new/2024-03-30/600995_20240330_BBKV.pdf" \t "_new"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https://www.sse.com.cn/disclosure/listedinfo/announcement/c/new/2024-03-30/600995_20240330_BBKV.pdf</w:t>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p>
    <w:bookmarkEnd w:id="0"/>
    <w:p w14:paraId="280CED7A">
      <w:pPr>
        <w:pStyle w:val="2"/>
        <w:keepNext w:val="0"/>
        <w:keepLines w:val="0"/>
        <w:widowControl/>
        <w:suppressLineNumbers w:val="0"/>
        <w:spacing w:before="0" w:beforeAutospacing="1" w:after="0" w:afterAutospacing="1"/>
        <w:ind w:left="0" w:right="0"/>
        <w:rPr>
          <w:rFonts w:hint="eastAsia" w:ascii="Times New Roman" w:hAnsi="Times New Roman" w:eastAsiaTheme="minorEastAsia" w:cstheme="minorBidi"/>
          <w:b w:val="0"/>
          <w:kern w:val="2"/>
          <w:sz w:val="21"/>
          <w:szCs w:val="21"/>
          <w:lang w:val="en-US" w:eastAsia="zh-CN" w:bidi="ar-SA"/>
        </w:rPr>
      </w:pPr>
    </w:p>
    <w:p w14:paraId="117FD5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p>
    <w:p w14:paraId="0DA785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[44]李娜, 杨双权, 陈浩森, 焦树强, 宋维力. 柔性锂离子电池的力学-电化学耦合设计进展[J]. 矿物冶金与材料学报（英文版）, 2022, 29(5): 1019-1036. DOI: 10.1007/s12613-022-2486-4</w:t>
      </w:r>
    </w:p>
    <w:p w14:paraId="55E7BC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45</w:t>
      </w:r>
      <w:r>
        <w:rPr>
          <w:rFonts w:hint="eastAsia" w:ascii="Times New Roman" w:hAnsi="Times New Roman" w:eastAsiaTheme="minorEastAsia" w:cstheme="minorBidi"/>
          <w:b w:val="0"/>
          <w:kern w:val="2"/>
          <w:sz w:val="21"/>
          <w:szCs w:val="21"/>
          <w:lang w:val="en-US" w:eastAsia="zh-CN" w:bidi="ar-SA"/>
        </w:rPr>
        <w:t>] 王露霄. 高倍率锂电池荷电状态均衡策略研究. 硕士学位论文, 哈尔滨工业大学, 2022年6月.</w:t>
      </w:r>
    </w:p>
    <w:p w14:paraId="0213A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46</w:t>
      </w:r>
      <w:r>
        <w:rPr>
          <w:rFonts w:hint="eastAsia" w:ascii="Times New Roman" w:hAnsi="Times New Roman" w:eastAsiaTheme="minorEastAsia" w:cstheme="minorBidi"/>
          <w:b w:val="0"/>
          <w:kern w:val="2"/>
          <w:sz w:val="21"/>
          <w:szCs w:val="21"/>
          <w:lang w:val="en-US" w:eastAsia="zh-CN" w:bidi="ar-SA"/>
        </w:rPr>
        <w:t>] 周云. 基于电动汽车锂离子电池健康状态的优化充电方法. 汽车维修技师, 2024年第3期下半月刊:112.</w:t>
      </w:r>
    </w:p>
    <w:p w14:paraId="3B134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47</w:t>
      </w:r>
      <w:r>
        <w:rPr>
          <w:rFonts w:hint="eastAsia" w:ascii="Times New Roman" w:hAnsi="Times New Roman" w:eastAsiaTheme="minorEastAsia" w:cstheme="minorBidi"/>
          <w:b w:val="0"/>
          <w:kern w:val="2"/>
          <w:sz w:val="21"/>
          <w:szCs w:val="21"/>
          <w:lang w:val="en-US" w:eastAsia="zh-CN" w:bidi="ar-SA"/>
        </w:rPr>
        <w:t>] 戴玮. 基于电化学-力耦合模型的锂离子电池扩散极化及扩散应力分析. 硕士学位论文, 江苏大学, 2020年6月.</w:t>
      </w:r>
    </w:p>
    <w:p w14:paraId="0BE8D2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48</w:t>
      </w:r>
      <w:r>
        <w:rPr>
          <w:rFonts w:hint="eastAsia" w:ascii="Times New Roman" w:hAnsi="Times New Roman" w:eastAsiaTheme="minorEastAsia" w:cstheme="minorBidi"/>
          <w:b w:val="0"/>
          <w:kern w:val="2"/>
          <w:sz w:val="21"/>
          <w:szCs w:val="21"/>
          <w:lang w:val="en-US" w:eastAsia="zh-CN" w:bidi="ar-SA"/>
        </w:rPr>
        <w:t>] 高仁璟, 吕治强, 赵帅, 黄现国. 基于电化学模型的锂离子电池健康状态估算. 电池技术, 2022年第8期:791-797.</w:t>
      </w:r>
    </w:p>
    <w:p w14:paraId="503AF1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49</w:t>
      </w:r>
      <w:r>
        <w:rPr>
          <w:rFonts w:hint="eastAsia" w:ascii="Times New Roman" w:hAnsi="Times New Roman" w:eastAsiaTheme="minorEastAsia" w:cstheme="minorBidi"/>
          <w:b w:val="0"/>
          <w:kern w:val="2"/>
          <w:sz w:val="21"/>
          <w:szCs w:val="21"/>
          <w:lang w:val="en-US" w:eastAsia="zh-CN" w:bidi="ar-SA"/>
        </w:rPr>
        <w:t>] 陈耀星. 考虑应变梯度塑性理论的锂电池高容量电极材料的失效机理研究. 硕士学位论文, 湘潭大学, 2020年6月.</w:t>
      </w:r>
    </w:p>
    <w:p w14:paraId="1C2D90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50</w:t>
      </w:r>
      <w:r>
        <w:rPr>
          <w:rFonts w:hint="eastAsia" w:ascii="Times New Roman" w:hAnsi="Times New Roman" w:eastAsiaTheme="minorEastAsia" w:cstheme="minorBidi"/>
          <w:b w:val="0"/>
          <w:kern w:val="2"/>
          <w:sz w:val="21"/>
          <w:szCs w:val="21"/>
          <w:lang w:val="en-US" w:eastAsia="zh-CN" w:bidi="ar-SA"/>
        </w:rPr>
        <w:t>] 潘越. 锂电池电极充电扩散应力力学机理分析. 同济大学, 2023年.</w:t>
      </w:r>
    </w:p>
    <w:p w14:paraId="64635C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51</w:t>
      </w:r>
      <w:r>
        <w:rPr>
          <w:rFonts w:hint="eastAsia" w:ascii="Times New Roman" w:hAnsi="Times New Roman" w:eastAsiaTheme="minorEastAsia" w:cstheme="minorBidi"/>
          <w:b w:val="0"/>
          <w:kern w:val="2"/>
          <w:sz w:val="21"/>
          <w:szCs w:val="21"/>
          <w:lang w:val="en-US" w:eastAsia="zh-CN" w:bidi="ar-SA"/>
        </w:rPr>
        <w:t>] 张一丹. 锂离子电池电化学参数估计及其内部温度预测研究. 硕士学位论文, 北京交通大学, 2022年4月.</w:t>
      </w:r>
    </w:p>
    <w:p w14:paraId="299037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52</w:t>
      </w:r>
      <w:r>
        <w:rPr>
          <w:rFonts w:hint="eastAsia" w:ascii="Times New Roman" w:hAnsi="Times New Roman" w:eastAsiaTheme="minorEastAsia" w:cstheme="minorBidi"/>
          <w:b w:val="0"/>
          <w:kern w:val="2"/>
          <w:sz w:val="21"/>
          <w:szCs w:val="21"/>
          <w:lang w:val="en-US" w:eastAsia="zh-CN" w:bidi="ar-SA"/>
        </w:rPr>
        <w:t>] 练晨. 三元锂离子电池电化学-结构耦合多尺度建模与应力分析研究. 硕士学位论文, 山东大学, 2020年9月.</w:t>
      </w:r>
    </w:p>
    <w:p w14:paraId="0C092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53</w:t>
      </w:r>
      <w:r>
        <w:rPr>
          <w:rFonts w:hint="eastAsia" w:ascii="Times New Roman" w:hAnsi="Times New Roman" w:eastAsiaTheme="minorEastAsia" w:cstheme="minorBidi"/>
          <w:b w:val="0"/>
          <w:kern w:val="2"/>
          <w:sz w:val="21"/>
          <w:szCs w:val="21"/>
          <w:lang w:val="en-US" w:eastAsia="zh-CN" w:bidi="ar-SA"/>
        </w:rPr>
        <w:t>] 李英豪. 三元锂离子电池电化学-力耦合建模与应力分析. 硕士学位论文, 北京交通大学, 2023年5月.</w:t>
      </w:r>
    </w:p>
    <w:p w14:paraId="294C3A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54</w:t>
      </w:r>
      <w:r>
        <w:rPr>
          <w:rFonts w:hint="eastAsia" w:ascii="Times New Roman" w:hAnsi="Times New Roman" w:eastAsiaTheme="minorEastAsia" w:cstheme="minorBidi"/>
          <w:b w:val="0"/>
          <w:kern w:val="2"/>
          <w:sz w:val="21"/>
          <w:szCs w:val="21"/>
          <w:lang w:val="en-US" w:eastAsia="zh-CN" w:bidi="ar-SA"/>
        </w:rPr>
        <w:t>] 王亮. 新能源汽车电池管理与性能优化技术研究. 新能源技术, 2023年第6期:62-68.</w:t>
      </w:r>
    </w:p>
    <w:p w14:paraId="22F4F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2023年5月.</w:t>
      </w:r>
    </w:p>
    <w:p w14:paraId="0173CE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cstheme="minorBidi"/>
          <w:b w:val="0"/>
          <w:kern w:val="2"/>
          <w:sz w:val="21"/>
          <w:szCs w:val="21"/>
          <w:lang w:val="en-US" w:eastAsia="zh-CN" w:bidi="ar-SA"/>
        </w:rPr>
        <w:t>[55]</w:t>
      </w:r>
      <w:r>
        <w:rPr>
          <w:rFonts w:hint="eastAsia" w:ascii="Times New Roman" w:hAnsi="Times New Roman" w:eastAsiaTheme="minorEastAsia" w:cstheme="minorBidi"/>
          <w:b w:val="0"/>
          <w:kern w:val="2"/>
          <w:sz w:val="21"/>
          <w:szCs w:val="21"/>
          <w:lang w:val="en-US" w:eastAsia="zh-CN" w:bidi="ar-SA"/>
        </w:rPr>
        <w:t>冯超, 张锴, 郑百林. 外载对球形颗粒电极锂化过程的扩散影响. 研究与设计, 2024年5月</w:t>
      </w:r>
    </w:p>
    <w:p w14:paraId="271F3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cstheme="minorBidi"/>
          <w:b w:val="0"/>
          <w:kern w:val="2"/>
          <w:sz w:val="21"/>
          <w:szCs w:val="21"/>
          <w:lang w:val="en-US" w:eastAsia="zh-CN" w:bidi="ar-SA"/>
        </w:rPr>
        <w:t>[56]</w:t>
      </w:r>
      <w:r>
        <w:rPr>
          <w:rFonts w:hint="eastAsia" w:ascii="Times New Roman" w:hAnsi="Times New Roman" w:eastAsiaTheme="minorEastAsia" w:cstheme="minorBidi"/>
          <w:b w:val="0"/>
          <w:kern w:val="2"/>
          <w:sz w:val="21"/>
          <w:szCs w:val="21"/>
          <w:lang w:val="en-US" w:eastAsia="zh-CN" w:bidi="ar-SA"/>
        </w:rPr>
        <w:t>张磊. 球形电极颗粒中的扩散应力研究. 硕士学位论文, 中国科学技术大学, 2014年5月</w:t>
      </w:r>
    </w:p>
    <w:p w14:paraId="652916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default" w:ascii="Times New Roman" w:hAnsi="Times New Roman" w:eastAsiaTheme="minorEastAsia" w:cstheme="minorBidi"/>
          <w:b w:val="0"/>
          <w:kern w:val="2"/>
          <w:sz w:val="21"/>
          <w:szCs w:val="21"/>
          <w:lang w:val="en-US" w:eastAsia="zh-CN" w:bidi="ar-SA"/>
        </w:rPr>
      </w:pPr>
      <w:r>
        <w:rPr>
          <w:rFonts w:hint="eastAsia" w:cstheme="minorBidi"/>
          <w:b w:val="0"/>
          <w:kern w:val="2"/>
          <w:sz w:val="21"/>
          <w:szCs w:val="21"/>
          <w:lang w:val="en-US" w:eastAsia="zh-CN" w:bidi="ar-SA"/>
        </w:rPr>
        <w:t>[57]</w:t>
      </w:r>
      <w:r>
        <w:rPr>
          <w:rFonts w:hint="eastAsia" w:ascii="Times New Roman" w:hAnsi="Times New Roman" w:eastAsiaTheme="minorEastAsia" w:cstheme="minorBidi"/>
          <w:b w:val="0"/>
          <w:kern w:val="2"/>
          <w:sz w:val="21"/>
          <w:szCs w:val="21"/>
          <w:lang w:val="en-US" w:eastAsia="zh-CN" w:bidi="ar-SA"/>
        </w:rPr>
        <w:t>蒋皖, 锁要红, 胡海. 多孔球形电极颗粒中的扩散-应力耦合分析. 福州大学学报(自然科学版), 2020年8月​</w:t>
      </w:r>
    </w:p>
    <w:p w14:paraId="22D35C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55</w:t>
      </w:r>
      <w:r>
        <w:rPr>
          <w:rFonts w:hint="eastAsia" w:ascii="Times New Roman" w:hAnsi="Times New Roman" w:eastAsiaTheme="minorEastAsia" w:cstheme="minorBidi"/>
          <w:b w:val="0"/>
          <w:kern w:val="2"/>
          <w:sz w:val="21"/>
          <w:szCs w:val="21"/>
          <w:lang w:val="en-US" w:eastAsia="zh-CN" w:bidi="ar-SA"/>
        </w:rPr>
        <w:t>] Lee, W., Hong, J. Development of a numerical model for analyzing chemically induced stress inside a fuel electrode in a solid oxide fuel cell. Journal of Korean Society of Mechanical Engineers, 2023, Volume, Issue: [Article Number].</w:t>
      </w:r>
    </w:p>
    <w:p w14:paraId="79AFD3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56</w:t>
      </w:r>
      <w:r>
        <w:rPr>
          <w:rFonts w:hint="eastAsia" w:ascii="Times New Roman" w:hAnsi="Times New Roman" w:eastAsiaTheme="minorEastAsia" w:cstheme="minorBidi"/>
          <w:b w:val="0"/>
          <w:kern w:val="2"/>
          <w:sz w:val="21"/>
          <w:szCs w:val="21"/>
          <w:lang w:val="en-US" w:eastAsia="zh-CN" w:bidi="ar-SA"/>
        </w:rPr>
        <w:t>] Oca, L., Miguel, E., Agirrezabala, E., Herran, A., Gucciardi, E., Otaegui, L., Bekaert, E. Physico-chemical parameter measurement and model response evaluation for a pseudo-two-dimensional model of a commercial lithium-ion battery. Electrochimica Acta, 2021, Volume 382, 20 June 2021, Article 138287: [Pages].</w:t>
      </w:r>
    </w:p>
    <w:p w14:paraId="136DCE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57</w:t>
      </w:r>
      <w:r>
        <w:rPr>
          <w:rFonts w:hint="eastAsia" w:ascii="Times New Roman" w:hAnsi="Times New Roman" w:eastAsiaTheme="minorEastAsia" w:cstheme="minorBidi"/>
          <w:b w:val="0"/>
          <w:kern w:val="2"/>
          <w:sz w:val="21"/>
          <w:szCs w:val="21"/>
          <w:lang w:val="en-US" w:eastAsia="zh-CN" w:bidi="ar-SA"/>
        </w:rPr>
        <w:t>] Talukdar, S., Swaminathan, N., Ravindran, P. Stress-induced diffusion in viscoelastic electrode particles of Li-ion batteries: a comparative analysis using chemo-viscoelastic finite element models. Mechanics of Time-Dependent Materials, 2024, Volume 28, Pages 1133-1164.</w:t>
      </w:r>
    </w:p>
    <w:p w14:paraId="78DD7F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58</w:t>
      </w:r>
      <w:r>
        <w:rPr>
          <w:rFonts w:hint="eastAsia" w:ascii="Times New Roman" w:hAnsi="Times New Roman" w:eastAsiaTheme="minorEastAsia" w:cstheme="minorBidi"/>
          <w:b w:val="0"/>
          <w:kern w:val="2"/>
          <w:sz w:val="21"/>
          <w:szCs w:val="21"/>
          <w:lang w:val="en-US" w:eastAsia="zh-CN" w:bidi="ar-SA"/>
        </w:rPr>
        <w:t>] X.Zhang, W. Shyy, A. Marie Sastry, Numerical Simulation of Intercalation-Induced Stress in Li-Ion Battery Electrode Particles, J. Electrochem. Soc. 154 (2007) A910. https://doi.org/10.1149/1.2759840.</w:t>
      </w:r>
    </w:p>
    <w:p w14:paraId="21463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5</w:t>
      </w:r>
      <w:r>
        <w:rPr>
          <w:rFonts w:hint="eastAsia" w:ascii="Times New Roman" w:hAnsi="Times New Roman" w:eastAsiaTheme="minorEastAsia" w:cstheme="minorBidi"/>
          <w:b w:val="0"/>
          <w:kern w:val="2"/>
          <w:sz w:val="21"/>
          <w:szCs w:val="21"/>
          <w:lang w:val="en-US" w:eastAsia="zh-CN" w:bidi="ar-SA"/>
        </w:rPr>
        <w:t>9] W. Ai, Y. Liu, sP2D: Simplified pseudo 2D battery model by piecewise sinusoidal/quadratic functions of potential curves, J. Energy Storage 86 (2024) 111386. https://doi.org/10.1016/j.est.2024.111386.</w:t>
      </w:r>
    </w:p>
    <w:p w14:paraId="7084E6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6</w:t>
      </w:r>
      <w:r>
        <w:rPr>
          <w:rFonts w:hint="eastAsia" w:ascii="Times New Roman" w:hAnsi="Times New Roman" w:eastAsiaTheme="minorEastAsia" w:cstheme="minorBidi"/>
          <w:b w:val="0"/>
          <w:kern w:val="2"/>
          <w:sz w:val="21"/>
          <w:szCs w:val="21"/>
          <w:lang w:val="en-US" w:eastAsia="zh-CN" w:bidi="ar-SA"/>
        </w:rPr>
        <w:t xml:space="preserve">0] A. Jokar, B. Rajabloo, M. Désilets, M. Lacroix, Review of simplified Pseudo-two-Dimensional models of lithium-ion batteries, J. Power Sources 327 (2016) 44–55.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"https://doi.org/10.1016/j.jpowsour.2016.07.036."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https://doi.org/10.1016/j.jpowsour.2016.07.036.</w:t>
      </w:r>
      <w:r>
        <w:rPr>
          <w:rFonts w:hint="eastAsia" w:ascii="Times New Roman" w:hAnsi="Times New Roman" w:eastAsiaTheme="minorEastAsia" w:cstheme="minorBidi"/>
          <w:b w:val="0"/>
          <w:kern w:val="2"/>
          <w:sz w:val="21"/>
          <w:szCs w:val="21"/>
          <w:lang w:val="en-US" w:eastAsia="zh-CN" w:bidi="ar-SA"/>
        </w:rPr>
        <w:br w:type="textWrapping"/>
      </w:r>
      <w:r>
        <w:rPr>
          <w:rFonts w:hint="eastAsia" w:ascii="Times New Roman" w:hAnsi="Times New Roman" w:eastAsiaTheme="minorEastAsia" w:cstheme="minorBidi"/>
          <w:b w:val="0"/>
          <w:kern w:val="2"/>
          <w:sz w:val="21"/>
          <w:szCs w:val="21"/>
          <w:lang w:val="en-US" w:eastAsia="zh-CN" w:bidi="ar-SA"/>
        </w:rPr>
        <w:fldChar w:fldCharType="end"/>
      </w: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6</w:t>
      </w:r>
      <w:r>
        <w:rPr>
          <w:rFonts w:hint="eastAsia" w:ascii="Times New Roman" w:hAnsi="Times New Roman" w:eastAsiaTheme="minorEastAsia" w:cstheme="minorBidi"/>
          <w:b w:val="0"/>
          <w:kern w:val="2"/>
          <w:sz w:val="21"/>
          <w:szCs w:val="21"/>
          <w:lang w:val="en-US" w:eastAsia="zh-CN" w:bidi="ar-SA"/>
        </w:rPr>
        <w:t xml:space="preserve">1] Y. Li, D. Karunathilake, D.M. Vilathgamuwa, Y. Mishra, T.W. Farrell, S.S. Choi, C. Zou, Model order reduction techniques for physics-based lithium-ion battery management: a survey, IEEE Ind. Electron. Mag. 16 (2022) 36–51. </w:t>
      </w:r>
      <w:r>
        <w:rPr>
          <w:rFonts w:hint="eastAsia" w:ascii="Times New Roman" w:hAnsi="Times New Roman" w:eastAsiaTheme="minorEastAsia" w:cstheme="minorBidi"/>
          <w:b w:val="0"/>
          <w:kern w:val="2"/>
          <w:sz w:val="21"/>
          <w:szCs w:val="21"/>
          <w:lang w:val="en-US" w:eastAsia="zh-CN" w:bidi="ar-SA"/>
        </w:rPr>
        <w:fldChar w:fldCharType="begin"/>
      </w:r>
      <w:r>
        <w:rPr>
          <w:rFonts w:hint="eastAsia" w:ascii="Times New Roman" w:hAnsi="Times New Roman" w:eastAsiaTheme="minorEastAsia" w:cstheme="minorBidi"/>
          <w:b w:val="0"/>
          <w:kern w:val="2"/>
          <w:sz w:val="21"/>
          <w:szCs w:val="21"/>
          <w:lang w:val="en-US" w:eastAsia="zh-CN" w:bidi="ar-SA"/>
        </w:rPr>
        <w:instrText xml:space="preserve"> HYPERLINK "https://doi.org/10.1109/MIE.2021.3100318." </w:instrText>
      </w:r>
      <w:r>
        <w:rPr>
          <w:rFonts w:hint="eastAsia" w:ascii="Times New Roman" w:hAnsi="Times New Roman" w:eastAsiaTheme="minorEastAsia" w:cstheme="minorBidi"/>
          <w:b w:val="0"/>
          <w:kern w:val="2"/>
          <w:sz w:val="21"/>
          <w:szCs w:val="21"/>
          <w:lang w:val="en-US" w:eastAsia="zh-CN" w:bidi="ar-SA"/>
        </w:rPr>
        <w:fldChar w:fldCharType="separate"/>
      </w:r>
      <w:r>
        <w:rPr>
          <w:rFonts w:hint="eastAsia" w:ascii="Times New Roman" w:hAnsi="Times New Roman" w:eastAsiaTheme="minorEastAsia" w:cstheme="minorBidi"/>
          <w:b w:val="0"/>
          <w:kern w:val="2"/>
          <w:sz w:val="21"/>
          <w:szCs w:val="21"/>
          <w:lang w:val="en-US" w:eastAsia="zh-CN" w:bidi="ar-SA"/>
        </w:rPr>
        <w:t>https://doi.org/10.1109/MIE.2021.3100318.</w:t>
      </w:r>
      <w:r>
        <w:rPr>
          <w:rFonts w:hint="eastAsia" w:ascii="Times New Roman" w:hAnsi="Times New Roman" w:eastAsiaTheme="minorEastAsia" w:cstheme="minorBidi"/>
          <w:b w:val="0"/>
          <w:kern w:val="2"/>
          <w:sz w:val="21"/>
          <w:szCs w:val="21"/>
          <w:lang w:val="en-US" w:eastAsia="zh-CN" w:bidi="ar-SA"/>
        </w:rPr>
        <w:fldChar w:fldCharType="end"/>
      </w:r>
    </w:p>
    <w:p w14:paraId="7D31E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360" w:lineRule="auto"/>
        <w:ind w:left="0" w:leftChars="0" w:right="210" w:firstLine="0" w:firstLineChars="0"/>
        <w:jc w:val="left"/>
        <w:textAlignment w:val="baseline"/>
        <w:outlineLvl w:val="9"/>
        <w:rPr>
          <w:rFonts w:hint="eastAsia" w:ascii="Times New Roman" w:hAnsi="Times New Roman" w:eastAsiaTheme="minorEastAsia" w:cstheme="minorBidi"/>
          <w:b w:val="0"/>
          <w:kern w:val="2"/>
          <w:sz w:val="21"/>
          <w:szCs w:val="21"/>
          <w:lang w:val="en-US" w:eastAsia="zh-CN" w:bidi="ar-SA"/>
        </w:rPr>
      </w:pPr>
      <w:r>
        <w:rPr>
          <w:rFonts w:hint="eastAsia" w:ascii="Times New Roman" w:hAnsi="Times New Roman" w:eastAsiaTheme="minorEastAsia" w:cstheme="minorBidi"/>
          <w:b w:val="0"/>
          <w:kern w:val="2"/>
          <w:sz w:val="21"/>
          <w:szCs w:val="21"/>
          <w:lang w:val="en-US" w:eastAsia="zh-CN" w:bidi="ar-SA"/>
        </w:rPr>
        <w:t>[</w:t>
      </w:r>
      <w:r>
        <w:rPr>
          <w:rFonts w:hint="eastAsia" w:cstheme="minorBidi"/>
          <w:b w:val="0"/>
          <w:kern w:val="2"/>
          <w:sz w:val="21"/>
          <w:szCs w:val="21"/>
          <w:lang w:val="en-US" w:eastAsia="zh-CN" w:bidi="ar-SA"/>
        </w:rPr>
        <w:t>6</w:t>
      </w:r>
      <w:r>
        <w:rPr>
          <w:rFonts w:hint="eastAsia" w:ascii="Times New Roman" w:hAnsi="Times New Roman" w:eastAsiaTheme="minorEastAsia" w:cstheme="minorBidi"/>
          <w:b w:val="0"/>
          <w:kern w:val="2"/>
          <w:sz w:val="21"/>
          <w:szCs w:val="21"/>
          <w:lang w:val="en-US" w:eastAsia="zh-CN" w:bidi="ar-SA"/>
        </w:rPr>
        <w:t>2] Weilong Ai, Yuan Liu. JuBat: A Julia-based framework for battery modelling using finite element method . SoftwareX, 2024, Volume 27, Article 101760: 1-10.</w:t>
      </w:r>
    </w:p>
    <w:p w14:paraId="78A0131A">
      <w:pPr>
        <w:numPr>
          <w:ilvl w:val="0"/>
          <w:numId w:val="2"/>
        </w:num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203338"/>
    <w:multiLevelType w:val="singleLevel"/>
    <w:tmpl w:val="33203338"/>
    <w:lvl w:ilvl="0" w:tentative="0">
      <w:start w:val="89"/>
      <w:numFmt w:val="decimal"/>
      <w:suff w:val="space"/>
      <w:lvlText w:val="[%1]"/>
      <w:lvlJc w:val="left"/>
    </w:lvl>
  </w:abstractNum>
  <w:abstractNum w:abstractNumId="1">
    <w:nsid w:val="55091CDC"/>
    <w:multiLevelType w:val="singleLevel"/>
    <w:tmpl w:val="55091CDC"/>
    <w:lvl w:ilvl="0" w:tentative="0">
      <w:start w:val="4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80870"/>
    <w:rsid w:val="050842EA"/>
    <w:rsid w:val="05B445E4"/>
    <w:rsid w:val="0FC80870"/>
    <w:rsid w:val="2D1212E9"/>
    <w:rsid w:val="40E56C00"/>
    <w:rsid w:val="4ADB1F8E"/>
    <w:rsid w:val="4C6D519A"/>
    <w:rsid w:val="64446389"/>
    <w:rsid w:val="6CB56076"/>
    <w:rsid w:val="71342848"/>
    <w:rsid w:val="75466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2180</Words>
  <Characters>12694</Characters>
  <Lines>0</Lines>
  <Paragraphs>0</Paragraphs>
  <TotalTime>16</TotalTime>
  <ScaleCrop>false</ScaleCrop>
  <LinksUpToDate>false</LinksUpToDate>
  <CharactersWithSpaces>13595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2025-04-25T13:28:00Z</dcterms:created>
  <dc:creator>吴家豪卐</dc:creator>
  <cp:lastModifiedBy>吴家豪卐</cp:lastModifiedBy>
  <dcterms:modified xsi:type="dcterms:W3CDTF">2025-04-26T13:50:03Z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C280DACC27214D9783EE9E33BFE03D93_11</vt:lpwstr>
  </property>
  <property fmtid="{D5CDD505-2E9C-101B-9397-08002B2CF9AE}" pid="4" name="KSOTemplateDocerSaveRecord">
    <vt:lpwstr>eyJoZGlkIjoiMmYwZTdlZWI5YzRjZmZjZTU0OWMxMzhmMjRkMTU0NGIiLCJ1c2VySWQiOiIyNzU2NzYzNTgifQ==</vt:lpwstr>
  </property>
</Properties>
</file>