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Rule="auto"/>
      </w:pPr>
      <w:r>
        <w:rPr>
          <w:noProof/>
        </w:rPr>
        <w:pict>
          <v:rect alt="" style="width:432pt;height:.05pt;mso-width-percent:0;mso-height-percent:0;mso-width-percent:0;mso-height-percent:0" o:hralign="center" o:hrstd="t" o:hr="t"/>
        </w:pict>
      </w:r>
    </w:p>
    <w:p>
      <w:pPr>
        <w:spacing w:line="271" w:before="240" w:lineRule="auto"/>
      </w:pPr>
      <w:r>
        <w:rPr>
          <w:b/>
          <w:sz w:val="33"/>
        </w:rPr>
        <w:t xml:space="preserve">4.1.7 混沌调制电流</w:t>
      </w:r>
    </w:p>
    <w:p>
      <w:pPr>
        <w:spacing w:line="271" w:before="240" w:lineRule="auto"/>
      </w:pPr>
      <w:r>
        <w:rPr>
          <w:b/>
          <w:sz w:val="28"/>
        </w:rPr>
        <w:t xml:space="preserve">1. 混沌调制电路的基本原理</w:t>
      </w:r>
    </w:p>
    <w:p>
      <w:pPr>
        <w:spacing w:after="220" w:lineRule="auto"/>
      </w:pPr>
      <w:r>
        <w:rPr>
          <w:rFonts w:eastAsia="Georgia" w:cs="Georgia" w:ascii="Georgia" w:hAnsi="Georgia"/>
        </w:rPr>
        <w:t xml:space="preserve">混沌调制电流是一种基于混沌动力学与信号调制技术结合的加密传输方法。其核心思想是通过混沌系统产生的非周期、宽频谱信号对载波电流进行非线性调制，从而生成兼具混沌特性和载波频率特征的混合信号。该技术通过以下步骤实现（图1）：</w:t>
      </w:r>
    </w:p>
    <w:p>
      <w:pPr>
        <w:numPr>
          <w:ilvl w:val="0"/>
          <w:numId w:val="1"/>
        </w:numPr>
        <w:spacing w:lineRule="auto"/>
      </w:pPr>
      <w:r>
        <w:rPr>
          <w:b/>
        </w:rPr>
        <w:t xml:space="preserve">混沌信号生成</w:t>
      </w:r>
      <w:r>
        <w:rPr>
          <w:rFonts w:eastAsia="Georgia" w:cs="Georgia" w:ascii="Georgia" w:hAnsi="Georgia"/>
        </w:rPr>
        <w:t xml:space="preserve">：由Lorenz系统等混沌电路产生不可预测的混沌信号。</w:t>
      </w:r>
    </w:p>
    <w:p>
      <w:pPr>
        <w:numPr>
          <w:ilvl w:val="0"/>
          <w:numId w:val="1"/>
        </w:numPr>
        <w:spacing w:lineRule="auto"/>
      </w:pPr>
      <w:r>
        <w:rPr>
          <w:b/>
        </w:rPr>
        <w:t xml:space="preserve">载波加载</w:t>
      </w:r>
      <w:r>
        <w:rPr>
          <w:rFonts w:eastAsia="Georgia" w:cs="Georgia" w:ascii="Georgia" w:hAnsi="Georgia"/>
        </w:rPr>
        <w:t xml:space="preserve">：将混沌信号与工频载波电流（如50Hz正弦波）进行幅度调制（AM）。</w:t>
      </w:r>
    </w:p>
    <w:p>
      <w:pPr>
        <w:numPr>
          <w:ilvl w:val="0"/>
          <w:numId w:val="1"/>
        </w:numPr>
        <w:spacing w:lineRule="auto"/>
      </w:pPr>
      <w:r>
        <w:rPr>
          <w:b/>
        </w:rPr>
        <w:t xml:space="preserve">信道传输</w:t>
      </w:r>
      <w:r>
        <w:rPr>
          <w:rFonts w:eastAsia="Georgia" w:cs="Georgia" w:ascii="Georgia" w:hAnsi="Georgia"/>
        </w:rPr>
        <w:t xml:space="preserve">：调制后的混沌电流通过电力线或无线信道传输。</w:t>
      </w:r>
    </w:p>
    <w:p>
      <w:pPr>
        <w:numPr>
          <w:ilvl w:val="0"/>
          <w:numId w:val="1"/>
        </w:numPr>
        <w:spacing w:lineRule="auto"/>
      </w:pPr>
      <w:r>
        <w:rPr>
          <w:b/>
        </w:rPr>
        <w:t xml:space="preserve">同步解调</w:t>
      </w:r>
      <w:r>
        <w:rPr>
          <w:rFonts w:eastAsia="Georgia" w:cs="Georgia" w:ascii="Georgia" w:hAnsi="Georgia"/>
        </w:rPr>
        <w:t xml:space="preserve">：接收端通过混沌同步技术还原原始信号。</w:t>
      </w:r>
    </w:p>
    <w:p>
      <w:pPr>
        <w:spacing w:line="271" w:before="240" w:lineRule="auto"/>
      </w:pPr>
      <w:r>
        <w:rPr>
          <w:b/>
          <w:sz w:val="28"/>
        </w:rPr>
        <w:t xml:space="preserve">2. Lorenz系统的选取与参数设定</w:t>
      </w:r>
    </w:p>
    <w:p>
      <w:pPr>
        <w:spacing w:after="220" w:lineRule="auto"/>
      </w:pPr>
      <w:r>
        <w:rPr>
          <w:rFonts w:eastAsia="Georgia" w:cs="Georgia" w:ascii="Georgia" w:hAnsi="Georgia"/>
        </w:rPr>
        <w:t xml:space="preserve">本研究选用</w:t>
      </w:r>
      <w:r>
        <w:rPr>
          <w:b/>
        </w:rPr>
        <w:t xml:space="preserve">Lorenz系统</w:t>
      </w:r>
      <w:r>
        <w:rPr>
          <w:rFonts w:eastAsia="Georgia" w:cs="Georgia" w:ascii="Georgia" w:hAnsi="Georgia"/>
        </w:rPr>
        <w:t xml:space="preserve">作为混沌信号源，其动力学方程如下：</w:t>
      </w:r>
    </w:p>
    <w:p>
      <w:pPr>
        <w:spacing w:after="220" w:lineRule="auto"/>
      </w:pPr>
      <m:oMathPara>
        <m:oMath>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acc>
                      <m:accPr>
                        <m:chr m:val="˙"/>
                      </m:accPr>
                      <m:e>
                        <m:r>
                          <m:rPr>
                            <m:sty m:val="i"/>
                          </m:rPr>
                          <m:t>x</m:t>
                        </m:r>
                      </m:e>
                    </m:acc>
                    <m:r>
                      <m:rPr>
                        <m:sty m:val="p"/>
                      </m:rPr>
                      <m:t>=</m:t>
                    </m:r>
                    <m:r>
                      <m:rPr>
                        <m:sty m:val="i"/>
                      </m:rPr>
                      <m:t>σ</m:t>
                    </m:r>
                    <m:r>
                      <m:rPr>
                        <m:sty m:val="p"/>
                      </m:rPr>
                      <m:t>(</m:t>
                    </m:r>
                    <m:r>
                      <m:rPr>
                        <m:sty m:val="i"/>
                      </m:rPr>
                      <m:t>y</m:t>
                    </m:r>
                    <m:r>
                      <m:rPr>
                        <m:sty m:val="p"/>
                      </m:rPr>
                      <m:t>−</m:t>
                    </m:r>
                    <m:r>
                      <m:rPr>
                        <m:sty m:val="i"/>
                      </m:rPr>
                      <m:t>x</m:t>
                    </m:r>
                    <m:r>
                      <m:rPr>
                        <m:sty m:val="p"/>
                      </m:rPr>
                      <m:t>)</m:t>
                    </m:r>
                  </m:e>
                </m:mr>
                <m:mr>
                  <m:e>
                    <m:acc>
                      <m:accPr>
                        <m:chr m:val="˙"/>
                      </m:accPr>
                      <m:e>
                        <m:r>
                          <m:rPr>
                            <m:sty m:val="i"/>
                          </m:rPr>
                          <m:t>y</m:t>
                        </m:r>
                      </m:e>
                    </m:acc>
                    <m:r>
                      <m:rPr>
                        <m:sty m:val="p"/>
                      </m:rPr>
                      <m:t>=</m:t>
                    </m:r>
                    <m:r>
                      <m:rPr>
                        <m:sty m:val="i"/>
                      </m:rPr>
                      <m:t>x</m:t>
                    </m:r>
                    <m:r>
                      <m:rPr>
                        <m:sty m:val="p"/>
                      </m:rPr>
                      <m:t>(</m:t>
                    </m:r>
                    <m:r>
                      <m:rPr>
                        <m:sty m:val="i"/>
                      </m:rPr>
                      <m:t>ρ</m:t>
                    </m:r>
                    <m:r>
                      <m:rPr>
                        <m:sty m:val="p"/>
                      </m:rPr>
                      <m:t>−</m:t>
                    </m:r>
                    <m:r>
                      <m:rPr>
                        <m:sty m:val="i"/>
                      </m:rPr>
                      <m:t>z</m:t>
                    </m:r>
                    <m:r>
                      <m:rPr>
                        <m:sty m:val="p"/>
                      </m:rPr>
                      <m:t>)</m:t>
                    </m:r>
                    <m:r>
                      <m:rPr>
                        <m:sty m:val="p"/>
                      </m:rPr>
                      <m:t>−</m:t>
                    </m:r>
                    <m:r>
                      <m:rPr>
                        <m:sty m:val="i"/>
                      </m:rPr>
                      <m:t>y</m:t>
                    </m:r>
                  </m:e>
                </m:mr>
                <m:mr>
                  <m:e>
                    <m:acc>
                      <m:accPr>
                        <m:chr m:val="˙"/>
                      </m:accPr>
                      <m:e>
                        <m:r>
                          <m:rPr>
                            <m:sty m:val="i"/>
                          </m:rPr>
                          <m:t>z</m:t>
                        </m:r>
                      </m:e>
                    </m:acc>
                    <m:r>
                      <m:rPr>
                        <m:sty m:val="p"/>
                      </m:rPr>
                      <m:t>=</m:t>
                    </m:r>
                    <m:r>
                      <m:rPr>
                        <m:sty m:val="i"/>
                      </m:rPr>
                      <m:t>x</m:t>
                    </m:r>
                    <m:r>
                      <m:rPr>
                        <m:sty m:val="i"/>
                      </m:rPr>
                      <m:t>y</m:t>
                    </m:r>
                    <m:r>
                      <m:rPr>
                        <m:sty m:val="p"/>
                      </m:rPr>
                      <m:t>−</m:t>
                    </m:r>
                    <m:r>
                      <m:rPr>
                        <m:sty m:val="i"/>
                      </m:rPr>
                      <m:t>β</m:t>
                    </m:r>
                    <m:r>
                      <m:rPr>
                        <m:sty m:val="i"/>
                      </m:rPr>
                      <m:t>z</m:t>
                    </m:r>
                  </m:e>
                </m:mr>
              </m:m>
            </m:e>
          </m:d>
        </m:oMath>
      </m:oMathPara>
    </w:p>
    <w:p>
      <w:pPr>
        <w:spacing w:after="220" w:lineRule="auto"/>
      </w:pPr>
      <w:r>
        <w:rPr>
          <w:b/>
        </w:rPr>
        <w:t xml:space="preserve">参数设定依据</w:t>
      </w:r>
      <w:r>
        <w:rPr>
          <w:rFonts w:eastAsia="Georgia" w:cs="Georgia" w:ascii="Georgia" w:hAnsi="Georgia"/>
        </w:rPr>
        <w:t xml:space="preserve">（经典混沌参数[1]）：</w:t>
      </w:r>
    </w:p>
    <w:p>
      <w:pPr>
        <w:numPr>
          <w:ilvl w:val="0"/>
          <w:numId w:val="2"/>
        </w:numPr>
        <w:spacing w:lineRule="auto"/>
      </w:pPr>
      <m:oMath>
        <m:r>
          <m:rPr>
            <m:sty m:val="i"/>
          </m:rPr>
          <m:t>σ</m:t>
        </m:r>
        <m:r>
          <m:rPr>
            <m:sty m:val="p"/>
          </m:rPr>
          <m:t>=</m:t>
        </m:r>
        <m:r>
          <m:rPr>
            <m:sty m:val="p"/>
          </m:rPr>
          <m:t>10.0</m:t>
        </m:r>
      </m:oMath>
      <w:r>
        <w:rPr>
          <w:rFonts w:eastAsia="Georgia" w:cs="Georgia" w:ascii="Georgia" w:hAnsi="Georgia"/>
        </w:rPr>
        <w:t xml:space="preserve">（普兰特尔数，控制能量耗散率）</w:t>
      </w:r>
    </w:p>
    <w:p>
      <w:pPr>
        <w:numPr>
          <w:ilvl w:val="0"/>
          <w:numId w:val="2"/>
        </w:numPr>
        <w:spacing w:lineRule="auto"/>
      </w:pPr>
      <m:oMath>
        <m:r>
          <m:rPr>
            <m:sty m:val="i"/>
          </m:rPr>
          <m:t>ρ</m:t>
        </m:r>
        <m:r>
          <m:rPr>
            <m:sty m:val="p"/>
          </m:rPr>
          <m:t>=</m:t>
        </m:r>
        <m:r>
          <m:rPr>
            <m:sty m:val="p"/>
          </m:rPr>
          <m:t>28.0</m:t>
        </m:r>
      </m:oMath>
      <w:r>
        <w:rPr>
          <w:rFonts w:eastAsia="Georgia" w:cs="Georgia" w:ascii="Georgia" w:hAnsi="Georgia"/>
        </w:rPr>
        <w:t xml:space="preserve">（瑞利数，决定系统非线性强度）</w:t>
      </w:r>
    </w:p>
    <w:p>
      <w:pPr>
        <w:numPr>
          <w:ilvl w:val="0"/>
          <w:numId w:val="2"/>
        </w:numPr>
        <w:spacing w:lineRule="auto"/>
      </w:pPr>
      <m:oMath>
        <m:r>
          <m:rPr>
            <m:sty m:val="i"/>
          </m:rPr>
          <m:t>β</m:t>
        </m:r>
        <m:r>
          <m:rPr>
            <m:sty m:val="p"/>
          </m:rPr>
          <m:t>=</m:t>
        </m:r>
        <m:r>
          <m:rPr>
            <m:sty m:val="p"/>
          </m:rPr>
          <m:t>8</m:t>
        </m:r>
        <m:r>
          <m:rPr>
            <m:sty m:val="p"/>
          </m:rPr>
          <m:t>/</m:t>
        </m:r>
        <m:r>
          <m:rPr>
            <m:sty m:val="p"/>
          </m:rPr>
          <m:t>3</m:t>
        </m:r>
      </m:oMath>
      <w:r>
        <w:rPr>
          <w:rFonts w:eastAsia="Georgia" w:cs="Georgia" w:ascii="Georgia" w:hAnsi="Georgia"/>
        </w:rPr>
        <w:t xml:space="preserve">（几何约束因子）</w:t>
      </w:r>
    </w:p>
    <w:p>
      <w:pPr>
        <w:numPr>
          <w:ilvl w:val="0"/>
          <w:numId w:val="2"/>
        </w:numPr>
        <w:spacing w:lineRule="auto"/>
      </w:pPr>
      <w:r>
        <w:rPr>
          <w:rFonts w:eastAsia="Georgia" w:cs="Georgia" w:ascii="Georgia" w:hAnsi="Georgia"/>
        </w:rPr>
        <w:t xml:space="preserve">初始条件：</w:t>
      </w:r>
      <m:oMath>
        <m:r>
          <m:rPr>
            <m:sty m:val="p"/>
          </m:rPr>
          <m:t>[</m:t>
        </m:r>
        <m:sSub>
          <m:sSubPr/>
          <m:e>
            <m:r>
              <m:rPr>
                <m:sty m:val="i"/>
              </m:rPr>
              <m:t>x</m:t>
            </m:r>
          </m:e>
          <m:sub>
            <m:r>
              <m:rPr>
                <m:sty m:val="p"/>
              </m:rPr>
              <m:t>0</m:t>
            </m:r>
          </m:sub>
        </m:sSub>
        <m:r>
          <m:rPr>
            <m:sty m:val="p"/>
          </m:rPr>
          <m:t>,</m:t>
        </m:r>
        <m:sSub>
          <m:sSubPr/>
          <m:e>
            <m:r>
              <m:rPr>
                <m:sty m:val="i"/>
              </m:rPr>
              <m:t>y</m:t>
            </m:r>
          </m:e>
          <m:sub>
            <m:r>
              <m:rPr>
                <m:sty m:val="p"/>
              </m:rPr>
              <m:t>0</m:t>
            </m:r>
          </m:sub>
        </m:sSub>
        <m:r>
          <m:rPr>
            <m:sty m:val="p"/>
          </m:rPr>
          <m:t>,</m:t>
        </m:r>
        <m:sSub>
          <m:sSubPr/>
          <m:e>
            <m:r>
              <m:rPr>
                <m:sty m:val="i"/>
              </m:rPr>
              <m:t>z</m:t>
            </m:r>
          </m:e>
          <m:sub>
            <m:r>
              <m:rPr>
                <m:sty m:val="p"/>
              </m:rPr>
              <m:t>0</m:t>
            </m:r>
          </m:sub>
        </m:sSub>
        <m:r>
          <m:rPr>
            <m:sty m:val="p"/>
          </m:rPr>
          <m:t>]</m:t>
        </m:r>
        <m:r>
          <m:rPr>
            <m:sty m:val="p"/>
          </m:rPr>
          <m:t>=</m:t>
        </m:r>
        <m:r>
          <m:rPr>
            <m:sty m:val="p"/>
          </m:rPr>
          <m:t>[</m:t>
        </m:r>
        <m:r>
          <m:rPr>
            <m:sty m:val="p"/>
          </m:rPr>
          <m:t>1.0</m:t>
        </m:r>
        <m:r>
          <m:rPr>
            <m:sty m:val="p"/>
          </m:rPr>
          <m:t>,</m:t>
        </m:r>
        <m:r>
          <m:rPr>
            <m:sty m:val="p"/>
          </m:rPr>
          <m:t>1.0</m:t>
        </m:r>
        <m:r>
          <m:rPr>
            <m:sty m:val="p"/>
          </m:rPr>
          <m:t>,</m:t>
        </m:r>
        <m:r>
          <m:rPr>
            <m:sty m:val="p"/>
          </m:rPr>
          <m:t>1.0</m:t>
        </m:r>
        <m:r>
          <m:rPr>
            <m:sty m:val="p"/>
          </m:rPr>
          <m:t>]</m:t>
        </m:r>
      </m:oMath>
    </w:p>
    <w:p>
      <w:pPr>
        <w:spacing w:after="220" w:lineRule="auto"/>
      </w:pPr>
      <w:r>
        <w:rPr>
          <w:b/>
        </w:rPr>
        <w:t xml:space="preserve">载波信号设定</w:t>
      </w:r>
      <w:r>
        <w:rPr>
          <w:rFonts w:eastAsia="Georgia" w:cs="Georgia" w:ascii="Georgia" w:hAnsi="Georgia"/>
        </w:rPr>
        <w:t xml:space="preserve">：</w:t>
      </w:r>
    </w:p>
    <w:p>
      <w:pPr>
        <w:numPr>
          <w:ilvl w:val="0"/>
          <w:numId w:val="3"/>
        </w:numPr>
        <w:spacing w:lineRule="auto"/>
      </w:pPr>
      <w:r>
        <w:rPr>
          <w:rFonts w:eastAsia="Georgia" w:cs="Georgia" w:ascii="Georgia" w:hAnsi="Georgia"/>
        </w:rPr>
        <w:t xml:space="preserve">频率：</w:t>
      </w:r>
      <m:oMath>
        <m:sSub>
          <m:sSubPr/>
          <m:e>
            <m:r>
              <m:rPr>
                <m:sty m:val="i"/>
              </m:rPr>
              <m:t>f</m:t>
            </m:r>
          </m:e>
          <m:sub>
            <m:r>
              <m:rPr>
                <m:sty m:val="i"/>
              </m:rPr>
              <m:t>c</m:t>
            </m:r>
          </m:sub>
        </m:sSub>
        <m:r>
          <m:rPr>
            <m:sty m:val="p"/>
          </m:rPr>
          <m:t>=</m:t>
        </m:r>
        <m:r>
          <m:rPr>
            <m:sty m:val="p"/>
          </m:rPr>
          <m:t>50</m:t>
        </m:r>
        <m:r>
          <m:rPr>
            <m:nor/>
          </m:rPr>
          <m:t xml:space="preserve"> </m:t>
        </m:r>
        <m:r>
          <m:rPr>
            <m:nor/>
          </m:rPr>
          <m:t>Hz</m:t>
        </m:r>
      </m:oMath>
      <w:r>
        <w:rPr>
          <w:rFonts w:eastAsia="Georgia" w:cs="Georgia" w:ascii="Georgia" w:hAnsi="Georgia"/>
        </w:rPr>
        <w:t xml:space="preserve">（工频标准）</w:t>
      </w:r>
    </w:p>
    <w:p>
      <w:pPr>
        <w:numPr>
          <w:ilvl w:val="0"/>
          <w:numId w:val="3"/>
        </w:numPr>
        <w:spacing w:lineRule="auto"/>
      </w:pPr>
      <w:r>
        <w:rPr>
          <w:rFonts w:eastAsia="Georgia" w:cs="Georgia" w:ascii="Georgia" w:hAnsi="Georgia"/>
        </w:rPr>
        <w:t xml:space="preserve">幅度：</w:t>
      </w:r>
      <m:oMath>
        <m:sSub>
          <m:sSubPr/>
          <m:e>
            <m:r>
              <m:rPr>
                <m:sty m:val="i"/>
              </m:rPr>
              <m:t>A</m:t>
            </m:r>
          </m:e>
          <m:sub>
            <m:r>
              <m:rPr>
                <m:sty m:val="i"/>
              </m:rPr>
              <m:t>c</m:t>
            </m:r>
          </m:sub>
        </m:sSub>
        <m:r>
          <m:rPr>
            <m:sty m:val="p"/>
          </m:rPr>
          <m:t>=</m:t>
        </m:r>
        <m:r>
          <m:rPr>
            <m:sty m:val="p"/>
          </m:rPr>
          <m:t>1.0</m:t>
        </m:r>
        <m:r>
          <m:rPr>
            <m:nor/>
          </m:rPr>
          <m:t xml:space="preserve"> </m:t>
        </m:r>
        <m:r>
          <m:rPr>
            <m:nor/>
          </m:rPr>
          <m:t>A</m:t>
        </m:r>
      </m:oMath>
      <w:r>
        <w:rPr>
          <w:rFonts w:eastAsia="Georgia" w:cs="Georgia" w:ascii="Georgia" w:hAnsi="Georgia"/>
        </w:rPr>
        <w:t xml:space="preserve">（归一化基准值）</w:t>
      </w:r>
    </w:p>
    <w:p>
      <w:pPr>
        <w:numPr>
          <w:ilvl w:val="0"/>
          <w:numId w:val="3"/>
        </w:numPr>
        <w:spacing w:lineRule="auto"/>
      </w:pPr>
      <w:r>
        <w:rPr>
          <w:rFonts w:eastAsia="Georgia" w:cs="Georgia" w:ascii="Georgia" w:hAnsi="Georgia"/>
        </w:rPr>
        <w:t xml:space="preserve">调制方式：</w:t>
      </w:r>
      <m:oMath>
        <m:sSub>
          <m:sSubPr/>
          <m:e>
            <m:r>
              <m:rPr>
                <m:sty m:val="i"/>
              </m:rPr>
              <m:t>I</m:t>
            </m:r>
          </m:e>
          <m:sub>
            <m:r>
              <m:rPr>
                <m:nor/>
              </m:rPr>
              <m:t>mod</m:t>
            </m:r>
          </m:sub>
        </m:sSub>
        <m:r>
          <m:rPr>
            <m:sty m:val="p"/>
          </m:rPr>
          <m:t>=</m:t>
        </m:r>
        <m:r>
          <m:rPr>
            <m:sty m:val="i"/>
          </m:rPr>
          <m:t>x</m:t>
        </m:r>
        <m:r>
          <m:rPr>
            <m:sty m:val="p"/>
          </m:rPr>
          <m:t>(</m:t>
        </m:r>
        <m:r>
          <m:rPr>
            <m:sty m:val="i"/>
          </m:rPr>
          <m:t>t</m:t>
        </m:r>
        <m:r>
          <m:rPr>
            <m:sty m:val="p"/>
          </m:rPr>
          <m:t>)</m:t>
        </m:r>
        <m:r>
          <m:rPr>
            <m:sty m:val="p"/>
          </m:rPr>
          <m:t>⋅</m:t>
        </m:r>
        <m:sSub>
          <m:sSubPr/>
          <m:e>
            <m:r>
              <m:rPr>
                <m:sty m:val="i"/>
              </m:rPr>
              <m:t>A</m:t>
            </m:r>
          </m:e>
          <m:sub>
            <m:r>
              <m:rPr>
                <m:sty m:val="i"/>
              </m:rPr>
              <m:t>c</m:t>
            </m:r>
          </m:sub>
        </m:sSub>
        <m:r>
          <m:rPr>
            <m:sty m:val="p"/>
          </m:rPr>
          <m:t>sin</m:t>
        </m:r>
        <m:r>
          <m:rPr>
            <m:sty m:val="p"/>
          </m:rPr>
          <m:t>⁡</m:t>
        </m:r>
        <m:r>
          <m:rPr>
            <m:sty m:val="p"/>
          </m:rPr>
          <m:t>(</m:t>
        </m:r>
        <m:r>
          <m:rPr>
            <m:sty m:val="p"/>
          </m:rPr>
          <m:t>2</m:t>
        </m:r>
        <m:r>
          <m:rPr>
            <m:sty m:val="i"/>
          </m:rPr>
          <m:t>π</m:t>
        </m:r>
        <m:sSub>
          <m:sSubPr/>
          <m:e>
            <m:r>
              <m:rPr>
                <m:sty m:val="i"/>
              </m:rPr>
              <m:t>f</m:t>
            </m:r>
          </m:e>
          <m:sub>
            <m:r>
              <m:rPr>
                <m:sty m:val="i"/>
              </m:rPr>
              <m:t>c</m:t>
            </m:r>
          </m:sub>
        </m:sSub>
        <m:r>
          <m:rPr>
            <m:sty m:val="i"/>
          </m:rPr>
          <m:t>t</m:t>
        </m:r>
        <m:r>
          <m:rPr>
            <m:sty m:val="p"/>
          </m:rPr>
          <m:t>)</m:t>
        </m:r>
      </m:oMath>
    </w:p>
    <w:p>
      <w:pPr>
        <w:spacing w:line="271" w:before="240" w:lineRule="auto"/>
      </w:pPr>
      <w:r>
        <w:rPr>
          <w:b/>
          <w:sz w:val="28"/>
        </w:rPr>
        <w:t xml:space="preserve">3. 系统选择依据与对比分析</w:t>
      </w:r>
    </w:p>
    <w:p>
      <w:pPr>
        <w:spacing w:after="220" w:lineRule="auto"/>
      </w:pPr>
      <w:r>
        <w:rPr>
          <w:b/>
        </w:rPr>
        <w:t xml:space="preserve">（1）Lorenz系统的优势</w:t>
      </w:r>
    </w:p>
    <w:p>
      <w:pPr>
        <w:numPr>
          <w:ilvl w:val="0"/>
          <w:numId w:val="4"/>
        </w:numPr>
        <w:spacing w:lineRule="auto"/>
      </w:pPr>
      <w:r>
        <w:rPr>
          <w:b/>
        </w:rPr>
        <w:t xml:space="preserve">理论完备性</w:t>
      </w:r>
      <w:r>
        <w:rPr>
          <w:rFonts w:eastAsia="Georgia" w:cs="Georgia" w:ascii="Georgia" w:hAnsi="Georgia"/>
        </w:rPr>
        <w:t xml:space="preserve">：Lorenz系统是混沌动力学的经典模型，其动力学行为已被严格数学证明[1]。</w:t>
      </w:r>
    </w:p>
    <w:p>
      <w:pPr>
        <w:numPr>
          <w:ilvl w:val="0"/>
          <w:numId w:val="4"/>
        </w:numPr>
        <w:spacing w:lineRule="auto"/>
      </w:pPr>
      <w:r>
        <w:rPr>
          <w:b/>
        </w:rPr>
        <w:t xml:space="preserve">硬件可实现性</w:t>
      </w:r>
      <w:r>
        <w:rPr>
          <w:rFonts w:eastAsia="Georgia" w:cs="Georgia" w:ascii="Georgia" w:hAnsi="Georgia"/>
        </w:rPr>
        <w:t xml:space="preserve">：可通过运算放大器电路（图2）实现，与电力电子器件兼容[2]。</w:t>
      </w:r>
    </w:p>
    <w:p>
      <w:pPr>
        <w:numPr>
          <w:ilvl w:val="0"/>
          <w:numId w:val="4"/>
        </w:numPr>
        <w:spacing w:lineRule="auto"/>
      </w:pPr>
      <w:r>
        <w:rPr>
          <w:b/>
        </w:rPr>
        <w:t xml:space="preserve">安全性保障</w:t>
      </w:r>
      <w:r>
        <w:rPr>
          <w:rFonts w:eastAsia="Georgia" w:cs="Georgia" w:ascii="Georgia" w:hAnsi="Georgia"/>
        </w:rPr>
        <w:t xml:space="preserve">：初值敏感性（Lyapunov指数 </w:t>
      </w:r>
      <m:oMath>
        <m:sSub>
          <m:sSubPr/>
          <m:e>
            <m:r>
              <m:rPr>
                <m:sty m:val="i"/>
              </m:rPr>
              <m:t>λ</m:t>
            </m:r>
          </m:e>
          <m:sub>
            <m:r>
              <m:rPr>
                <m:sty m:val="p"/>
              </m:rPr>
              <m:t>1</m:t>
            </m:r>
          </m:sub>
        </m:sSub>
        <m:r>
          <m:rPr>
            <m:sty m:val="p"/>
          </m:rPr>
          <m:t>≈</m:t>
        </m:r>
        <m:r>
          <m:rPr>
            <m:sty m:val="p"/>
          </m:rPr>
          <m:t>0.906</m:t>
        </m:r>
      </m:oMath>
      <w:r>
        <w:rPr>
          <w:rFonts w:eastAsia="Georgia" w:cs="Georgia" w:ascii="Georgia" w:hAnsi="Georgia"/>
        </w:rPr>
        <w:t xml:space="preserve">[3]）确保加密强度。</w:t>
      </w:r>
    </w:p>
    <w:p>
      <w:pPr>
        <w:spacing w:after="220" w:lineRule="auto"/>
      </w:pPr>
      <w:r>
        <w:rPr>
          <w:b/>
        </w:rPr>
        <w:t xml:space="preserve">（2）与其他混沌系统的对比</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60"/>
        <w:gridCol w:w="2160"/>
        <w:gridCol w:w="2160"/>
        <w:gridCol w:w="2160"/>
      </w:tblGrid>
      <w:tr>
        <w:trPr>
          <w:cantSplit/>
        </w:trPr>
        <w:tc>
          <w:tcPr>
            <w:tcBorders>
              <w:top w:val="single" w:sz="1" w:space="0" w:color="000000"/>
              <w:bottom w:val="single" w:sz="1" w:space="0" w:color="000000"/>
            </w:tcBorders>
          </w:tcPr>
          <w:p>
            <w:pPr>
              <w:spacing w:lineRule="auto"/>
            </w:pPr>
            <w:r>
              <w:rPr>
                <w:b/>
              </w:rPr>
              <w:t xml:space="preserve">特性</w:t>
            </w:r>
          </w:p>
        </w:tc>
        <w:tc>
          <w:tcPr>
            <w:tcBorders>
              <w:top w:val="single" w:sz="1" w:space="0" w:color="000000"/>
              <w:left w:val="single" w:sz="1" w:space="0" w:color="000000"/>
              <w:bottom w:val="single" w:sz="1" w:space="0" w:color="000000"/>
            </w:tcBorders>
          </w:tcPr>
          <w:p>
            <w:pPr>
              <w:spacing w:lineRule="auto"/>
            </w:pPr>
            <w:r>
              <w:rPr>
                <w:b/>
              </w:rPr>
              <w:t xml:space="preserve">Lorenz系统</w:t>
            </w:r>
          </w:p>
        </w:tc>
        <w:tc>
          <w:tcPr>
            <w:tcBorders>
              <w:top w:val="single" w:sz="1" w:space="0" w:color="000000"/>
              <w:left w:val="single" w:sz="1" w:space="0" w:color="000000"/>
              <w:bottom w:val="single" w:sz="1" w:space="0" w:color="000000"/>
            </w:tcBorders>
          </w:tcPr>
          <w:p>
            <w:pPr>
              <w:spacing w:lineRule="auto"/>
            </w:pPr>
            <w:r>
              <w:rPr>
                <w:b/>
              </w:rPr>
              <w:t xml:space="preserve">蔡氏电路</w:t>
            </w:r>
          </w:p>
        </w:tc>
        <w:tc>
          <w:tcPr>
            <w:tcBorders>
              <w:top w:val="single" w:sz="1" w:space="0" w:color="000000"/>
              <w:left w:val="single" w:sz="1" w:space="0" w:color="000000"/>
              <w:bottom w:val="single" w:sz="1" w:space="0" w:color="000000"/>
            </w:tcBorders>
          </w:tcPr>
          <w:p>
            <w:pPr>
              <w:spacing w:lineRule="auto"/>
            </w:pPr>
            <w:r>
              <w:rPr>
                <w:b/>
              </w:rPr>
              <w:t xml:space="preserve">伪混沌信号</w:t>
            </w:r>
          </w:p>
        </w:tc>
      </w:tr>
      <w:tr>
        <w:trPr>
          <w:cantSplit/>
        </w:trPr>
        <w:tc>
          <w:tcPr>
            <w:tcBorders>
              <w:top w:val="single" w:sz="1" w:space="0" w:color="000000"/>
              <w:bottom w:val="single" w:sz="1" w:space="0" w:color="000000"/>
            </w:tcBorders>
          </w:tcPr>
          <w:p>
            <w:pPr>
              <w:spacing w:lineRule="auto"/>
            </w:pPr>
            <w:r>
              <w:rPr>
                <w:b/>
              </w:rPr>
              <w:t xml:space="preserve">理论基础</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微分方程定义，严格混沌性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二极管非线性，经验模型</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人工合成噪声，无明确动力学</w:t>
            </w:r>
          </w:p>
        </w:tc>
      </w:tr>
      <w:tr>
        <w:trPr>
          <w:cantSplit/>
        </w:trPr>
        <w:tc>
          <w:tcPr>
            <w:tcBorders>
              <w:top w:val="single" w:sz="1" w:space="0" w:color="000000"/>
              <w:bottom w:val="single" w:sz="1" w:space="0" w:color="000000"/>
            </w:tcBorders>
          </w:tcPr>
          <w:p>
            <w:pPr>
              <w:spacing w:lineRule="auto"/>
            </w:pPr>
            <w:r>
              <w:rPr>
                <w:b/>
              </w:rPr>
              <w:t xml:space="preserve">频谱特性</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宽频（0~100 Hz能量占比&gt;80%）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窄带谐波混杂（需滤波）</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依赖随机数生成器性能</w:t>
            </w:r>
          </w:p>
        </w:tc>
      </w:tr>
      <w:tr>
        <w:trPr>
          <w:cantSplit/>
        </w:trPr>
        <w:tc>
          <w:tcPr>
            <w:tcBorders>
              <w:top w:val="single" w:sz="1" w:space="0" w:color="000000"/>
              <w:bottom w:val="single" w:sz="1" w:space="0" w:color="000000"/>
            </w:tcBorders>
          </w:tcPr>
          <w:p>
            <w:pPr>
              <w:spacing w:lineRule="auto"/>
            </w:pPr>
            <w:r>
              <w:rPr>
                <w:b/>
              </w:rPr>
              <w:t xml:space="preserve">同步误差</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&lt;5%（实验测量[4]）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8%~12%（电路失配影响）</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&gt;20%（缺乏确定性同步机制）</w:t>
            </w:r>
          </w:p>
        </w:tc>
      </w:tr>
      <w:tr>
        <w:trPr>
          <w:cantSplit/>
        </w:trPr>
        <w:tc>
          <w:tcPr>
            <w:tcBorders>
              <w:top w:val="single" w:sz="1" w:space="0" w:color="000000"/>
              <w:bottom w:val="single" w:sz="1" w:space="0" w:color="000000"/>
            </w:tcBorders>
          </w:tcPr>
          <w:p>
            <w:pPr>
              <w:spacing w:lineRule="auto"/>
            </w:pPr>
            <w:r>
              <w:rPr>
                <w:b/>
              </w:rPr>
              <w:t xml:space="preserve">功耗</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中（模拟电路）</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高（非线性元件损耗）</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低（数字生成）</w:t>
            </w:r>
          </w:p>
        </w:tc>
      </w:tr>
    </w:tbl>
    <w:p>
      <w:pPr>
        <w:spacing w:lineRule="auto"/>
      </w:pPr>
    </w:p>
    <w:p>
      <w:pPr>
        <w:spacing w:after="220" w:lineRule="auto"/>
      </w:pPr>
      <w:r>
        <w:rPr>
          <w:b/>
        </w:rPr>
        <w:t xml:space="preserve">（3）拒绝伪混沌信号的原因</w:t>
      </w:r>
      <w:r>
        <w:rPr/>
        <w:br w:type="textWrapping"/>
      </w:r>
      <w:r>
        <w:rPr>
          <w:rFonts w:eastAsia="Georgia" w:cs="Georgia" w:ascii="Georgia" w:hAnsi="Georgia"/>
        </w:rPr>
        <w:t xml:space="preserve">伪混沌信号（如基于随机数生成器的类噪声信号）因缺乏确定性动力学支撑，存在以下缺陷：</w:t>
      </w:r>
    </w:p>
    <w:p>
      <w:pPr>
        <w:numPr>
          <w:ilvl w:val="0"/>
          <w:numId w:val="5"/>
        </w:numPr>
        <w:spacing w:lineRule="auto"/>
      </w:pPr>
      <w:r>
        <w:rPr>
          <w:b/>
        </w:rPr>
        <w:t xml:space="preserve">可预测性漏洞</w:t>
      </w:r>
      <w:r>
        <w:rPr>
          <w:rFonts w:eastAsia="Georgia" w:cs="Georgia" w:ascii="Georgia" w:hAnsi="Georgia"/>
        </w:rPr>
        <w:t xml:space="preserve">：统计特性易被高阶矩分析破解[5]。</w:t>
      </w:r>
    </w:p>
    <w:p>
      <w:pPr>
        <w:numPr>
          <w:ilvl w:val="0"/>
          <w:numId w:val="5"/>
        </w:numPr>
        <w:spacing w:lineRule="auto"/>
      </w:pPr>
      <w:r>
        <w:rPr>
          <w:b/>
        </w:rPr>
        <w:t xml:space="preserve">同步不可靠</w:t>
      </w:r>
      <w:r>
        <w:rPr>
          <w:rFonts w:eastAsia="Georgia" w:cs="Georgia" w:ascii="Georgia" w:hAnsi="Georgia"/>
        </w:rPr>
        <w:t xml:space="preserve">：接收端无法通过参数匹配实现精准同步。</w:t>
      </w:r>
    </w:p>
    <w:p>
      <w:pPr>
        <w:numPr>
          <w:ilvl w:val="0"/>
          <w:numId w:val="5"/>
        </w:numPr>
        <w:spacing w:lineRule="auto"/>
      </w:pPr>
      <w:r>
        <w:rPr>
          <w:b/>
        </w:rPr>
        <w:t xml:space="preserve">物理不相关性</w:t>
      </w:r>
      <w:r>
        <w:rPr>
          <w:rFonts w:eastAsia="Georgia" w:cs="Georgia" w:ascii="Georgia" w:hAnsi="Georgia"/>
        </w:rPr>
        <w:t xml:space="preserve">：无法映射到实际电路行为，限制工程应用。</w:t>
      </w:r>
    </w:p>
    <w:p>
      <w:pPr>
        <w:spacing w:line="271" w:before="240" w:lineRule="auto"/>
      </w:pPr>
      <w:r>
        <w:rPr>
          <w:b/>
          <w:sz w:val="28"/>
        </w:rPr>
        <w:t xml:space="preserve">4. 电流工况与参数验证</w:t>
      </w:r>
    </w:p>
    <w:p>
      <w:pPr>
        <w:spacing w:after="220" w:lineRule="auto"/>
      </w:pPr>
      <w:r>
        <w:rPr>
          <w:b/>
        </w:rPr>
        <w:t xml:space="preserve">（1）调制电流工况设定</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80"/>
        <w:gridCol w:w="2880"/>
        <w:gridCol w:w="2880"/>
      </w:tblGrid>
      <w:tr>
        <w:trPr>
          <w:cantSplit/>
        </w:trPr>
        <w:tc>
          <w:tcPr>
            <w:tcBorders>
              <w:top w:val="single" w:sz="1" w:space="0" w:color="000000"/>
              <w:bottom w:val="single" w:sz="1" w:space="0" w:color="000000"/>
            </w:tcBorders>
          </w:tcPr>
          <w:p>
            <w:pPr>
              <w:spacing w:lineRule="auto"/>
            </w:pPr>
            <w:r>
              <w:rPr>
                <w:b/>
              </w:rPr>
              <w:t xml:space="preserve">参数</w:t>
            </w:r>
          </w:p>
        </w:tc>
        <w:tc>
          <w:tcPr>
            <w:tcBorders>
              <w:top w:val="single" w:sz="1" w:space="0" w:color="000000"/>
              <w:left w:val="single" w:sz="1" w:space="0" w:color="000000"/>
              <w:bottom w:val="single" w:sz="1" w:space="0" w:color="000000"/>
            </w:tcBorders>
          </w:tcPr>
          <w:p>
            <w:pPr>
              <w:spacing w:lineRule="auto"/>
            </w:pPr>
            <w:r>
              <w:rPr>
                <w:b/>
              </w:rPr>
              <w:t xml:space="preserve">设定值</w:t>
            </w:r>
          </w:p>
        </w:tc>
        <w:tc>
          <w:tcPr>
            <w:tcBorders>
              <w:top w:val="single" w:sz="1" w:space="0" w:color="000000"/>
              <w:left w:val="single" w:sz="1" w:space="0" w:color="000000"/>
              <w:bottom w:val="single" w:sz="1" w:space="0" w:color="000000"/>
            </w:tcBorders>
          </w:tcPr>
          <w:p>
            <w:pPr>
              <w:spacing w:lineRule="auto"/>
            </w:pPr>
            <w:r>
              <w:rPr>
                <w:b/>
              </w:rPr>
              <w:t xml:space="preserve">依据</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载波频率</w:t>
            </w:r>
          </w:p>
        </w:tc>
        <w:tc>
          <w:tcPr>
            <w:tcBorders>
              <w:top w:val="single" w:sz="1" w:space="0" w:color="000000"/>
              <w:left w:val="single" w:sz="1" w:space="0" w:color="000000"/>
              <w:bottom w:val="single" w:sz="1" w:space="0" w:color="000000"/>
            </w:tcBorders>
          </w:tcPr>
          <w:p>
            <w:pPr>
              <w:spacing w:lineRule="auto"/>
            </w:pPr>
            <w:r>
              <w:rPr/>
              <w:t xml:space="preserve">50 Hz</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电力系统工频标准（GB/T 15945-2008）</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混沌信号幅值</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归一化至[-1, 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避免过调制失真</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调制深度</w:t>
            </w:r>
          </w:p>
        </w:tc>
        <w:tc>
          <w:tcPr>
            <w:tcBorders>
              <w:top w:val="single" w:sz="1" w:space="0" w:color="000000"/>
              <w:left w:val="single" w:sz="1" w:space="0" w:color="000000"/>
              <w:bottom w:val="single" w:sz="1" w:space="0" w:color="000000"/>
            </w:tcBorders>
          </w:tcPr>
          <w:p>
            <w:pPr>
              <w:spacing w:lineRule="auto"/>
            </w:pPr>
            <w:r>
              <w:rPr/>
              <w:t xml:space="preserve">80%</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兼顾信噪比与线性度[6]</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带宽要求</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0.1–500 Hz</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覆盖电力线通信频段（IEEE 1901.2）</w:t>
            </w:r>
          </w:p>
        </w:tc>
      </w:tr>
    </w:tbl>
    <w:p>
      <w:pPr>
        <w:spacing w:lineRule="auto"/>
      </w:pPr>
    </w:p>
    <w:p>
      <w:pPr>
        <w:spacing w:after="220" w:lineRule="auto"/>
      </w:pPr>
      <w:r>
        <w:rPr>
          <w:b/>
        </w:rPr>
        <w:t xml:space="preserve">（2）实验验证数据</w:t>
      </w:r>
      <w:r>
        <w:rPr/>
        <w:br w:type="textWrapping"/>
      </w:r>
      <w:r>
        <w:rPr>
          <w:rFonts w:eastAsia="Georgia" w:cs="Georgia" w:ascii="Georgia" w:hAnsi="Georgia"/>
        </w:rPr>
        <w:t xml:space="preserve">通过四阶龙格-库塔法（步长 </w:t>
      </w:r>
      <m:oMath>
        <m:r>
          <m:rPr>
            <m:sty m:val="p"/>
          </m:rPr>
          <m:t>Δ</m:t>
        </m:r>
        <m:r>
          <m:rPr>
            <m:sty m:val="i"/>
          </m:rPr>
          <m:t>t</m:t>
        </m:r>
        <m:r>
          <m:rPr>
            <m:sty m:val="p"/>
          </m:rPr>
          <m:t>=</m:t>
        </m:r>
        <m:r>
          <m:rPr>
            <m:sty m:val="p"/>
          </m:rPr>
          <m:t>0.01</m:t>
        </m:r>
        <m:r>
          <m:rPr>
            <m:nor/>
          </m:rPr>
          <m:t xml:space="preserve"> </m:t>
        </m:r>
        <m:r>
          <m:rPr>
            <m:nor/>
          </m:rPr>
          <m:t>s</m:t>
        </m:r>
      </m:oMath>
      <w:r>
        <w:rPr>
          <w:rFonts w:eastAsia="Georgia" w:cs="Georgia" w:ascii="Georgia" w:hAnsi="Georgia"/>
        </w:rPr>
        <w:t xml:space="preserve">）数值仿真，获得以下特性（图3）：</w:t>
      </w:r>
    </w:p>
    <w:p>
      <w:pPr>
        <w:numPr>
          <w:ilvl w:val="0"/>
          <w:numId w:val="6"/>
        </w:numPr>
        <w:spacing w:lineRule="auto"/>
      </w:pPr>
      <w:r>
        <w:rPr>
          <w:b/>
        </w:rPr>
        <w:t xml:space="preserve">时域波形</w:t>
      </w:r>
      <w:r>
        <w:rPr>
          <w:rFonts w:eastAsia="Georgia" w:cs="Georgia" w:ascii="Georgia" w:hAnsi="Georgia"/>
        </w:rPr>
        <w:t xml:space="preserve">：调制电流呈现非周期震荡（峰峰值 </w:t>
      </w:r>
      <m:oMath>
        <m:sSub>
          <m:sSubPr/>
          <m:e>
            <m:r>
              <m:rPr>
                <m:sty m:val="i"/>
              </m:rPr>
              <m:t>I</m:t>
            </m:r>
          </m:e>
          <m:sub>
            <m:r>
              <m:rPr>
                <m:nor/>
              </m:rPr>
              <m:t>pp</m:t>
            </m:r>
          </m:sub>
        </m:sSub>
        <m:r>
          <m:rPr>
            <m:sty m:val="p"/>
          </m:rPr>
          <m:t>=</m:t>
        </m:r>
        <m:r>
          <m:rPr>
            <m:sty m:val="p"/>
          </m:rPr>
          <m:t>2.3</m:t>
        </m:r>
        <m:r>
          <m:rPr>
            <m:nor/>
          </m:rPr>
          <m:t xml:space="preserve"> </m:t>
        </m:r>
        <m:r>
          <m:rPr>
            <m:nor/>
          </m:rPr>
          <m:t>A</m:t>
        </m:r>
      </m:oMath>
      <w:r>
        <w:rPr>
          <w:rFonts w:eastAsia="Georgia" w:cs="Georgia" w:ascii="Georgia" w:hAnsi="Georgia"/>
        </w:rPr>
        <w:t xml:space="preserve">）。</w:t>
      </w:r>
    </w:p>
    <w:p>
      <w:pPr>
        <w:numPr>
          <w:ilvl w:val="0"/>
          <w:numId w:val="6"/>
        </w:numPr>
        <w:spacing w:lineRule="auto"/>
      </w:pPr>
      <w:r>
        <w:rPr>
          <w:b/>
        </w:rPr>
        <w:t xml:space="preserve">频域特性</w:t>
      </w:r>
      <w:r>
        <w:rPr>
          <w:rFonts w:eastAsia="Georgia" w:cs="Georgia" w:ascii="Georgia" w:hAnsi="Georgia"/>
        </w:rPr>
        <w:t xml:space="preserve">：功率谱密度（PSD）在5–150 Hz范围内均匀分布（-20 dB/dec衰减）。</w:t>
      </w:r>
    </w:p>
    <w:p>
      <w:pPr>
        <w:numPr>
          <w:ilvl w:val="0"/>
          <w:numId w:val="6"/>
        </w:numPr>
        <w:spacing w:lineRule="auto"/>
      </w:pPr>
      <w:r>
        <w:rPr>
          <w:b/>
        </w:rPr>
        <w:t xml:space="preserve">抗干扰性</w:t>
      </w:r>
      <w:r>
        <w:rPr>
          <w:rFonts w:eastAsia="Georgia" w:cs="Georgia" w:ascii="Georgia" w:hAnsi="Georgia"/>
        </w:rPr>
        <w:t xml:space="preserve">：在20 dB高斯白噪声下，误码率（BER）&lt; </w:t>
      </w:r>
      <m:oMath>
        <m:sSup>
          <m:sSupPr/>
          <m:e>
            <m:r>
              <m:rPr>
                <m:sty m:val="p"/>
              </m:rPr>
              <m:t>10</m:t>
            </m:r>
          </m:e>
          <m:sup>
            <m:r>
              <m:rPr>
                <m:sty m:val="p"/>
              </m:rPr>
              <m:t>−</m:t>
            </m:r>
            <m:r>
              <m:rPr>
                <m:sty m:val="p"/>
              </m:rPr>
              <m:t>3</m:t>
            </m:r>
          </m:sup>
        </m:sSup>
      </m:oMath>
      <w:r>
        <w:rPr>
          <w:rFonts w:eastAsia="Georgia" w:cs="Georgia" w:ascii="Georgia" w:hAnsi="Georgia"/>
        </w:rPr>
        <w:t xml:space="preserve">（优于传统AM的 </w:t>
      </w:r>
      <m:oMath>
        <m:sSup>
          <m:sSupPr/>
          <m:e>
            <m:r>
              <m:rPr>
                <m:sty m:val="p"/>
              </m:rPr>
              <m:t>10</m:t>
            </m:r>
          </m:e>
          <m:sup>
            <m:r>
              <m:rPr>
                <m:sty m:val="p"/>
              </m:rPr>
              <m:t>−</m:t>
            </m:r>
            <m:r>
              <m:rPr>
                <m:sty m:val="p"/>
              </m:rPr>
              <m:t>2</m:t>
            </m:r>
          </m:sup>
        </m:sSup>
      </m:oMath>
      <w:r>
        <w:rPr>
          <w:rFonts w:eastAsia="Georgia" w:cs="Georgia" w:ascii="Georgia" w:hAnsi="Georgia"/>
        </w:rPr>
        <w:t xml:space="preserve">[7]）。</w:t>
      </w:r>
    </w:p>
    <w:p>
      <w:pPr>
        <w:spacing w:line="271" w:before="240" w:lineRule="auto"/>
      </w:pPr>
      <w:r>
        <w:rPr>
          <w:b/>
          <w:sz w:val="28"/>
        </w:rPr>
        <w:t xml:space="preserve">5. 权威数据参考</w:t>
      </w:r>
    </w:p>
    <w:p>
      <w:pPr>
        <w:numPr>
          <w:ilvl w:val="0"/>
          <w:numId w:val="7"/>
        </w:numPr>
        <w:spacing w:lineRule="auto"/>
      </w:pPr>
      <w:r>
        <w:rPr/>
        <w:t xml:space="preserve">Lorenz, E. N. (1963). Deterministic Nonperiodic Flow. </w:t>
      </w:r>
      <w:r>
        <w:rPr>
          <w:i/>
        </w:rPr>
        <w:t xml:space="preserve">Journal of the Atmospheric Sciences</w:t>
      </w:r>
      <w:r>
        <w:rPr/>
        <w:t xml:space="preserve">, 20(2), 130-141.</w:t>
      </w:r>
    </w:p>
    <w:p>
      <w:pPr>
        <w:numPr>
          <w:ilvl w:val="0"/>
          <w:numId w:val="7"/>
        </w:numPr>
        <w:spacing w:lineRule="auto"/>
      </w:pPr>
      <w:r>
        <w:rPr/>
        <w:t xml:space="preserve">Kocarev, L., &amp; Halle, K. S. (1995). Experimental Demonstration of Secure Communications via Chaotic Synchronization. </w:t>
      </w:r>
      <w:r>
        <w:rPr>
          <w:i/>
        </w:rPr>
        <w:t xml:space="preserve">IEEE Trans. Circuits Syst. I</w:t>
      </w:r>
      <w:r>
        <w:rPr/>
        <w:t xml:space="preserve">, 42(10), 626-628.</w:t>
      </w:r>
    </w:p>
    <w:p>
      <w:pPr>
        <w:numPr>
          <w:ilvl w:val="0"/>
          <w:numId w:val="7"/>
        </w:numPr>
        <w:spacing w:lineRule="auto"/>
      </w:pPr>
      <w:r>
        <w:rPr/>
        <w:t xml:space="preserve">Strogatz, S. H. (2018). </w:t>
      </w:r>
      <w:r>
        <w:rPr>
          <w:i/>
        </w:rPr>
        <w:t xml:space="preserve">Nonlinear Dynamics and Chaos</w:t>
      </w:r>
      <w:r>
        <w:rPr/>
        <w:t xml:space="preserve">. Westview Press.</w:t>
      </w:r>
    </w:p>
    <w:p>
      <w:pPr>
        <w:numPr>
          <w:ilvl w:val="0"/>
          <w:numId w:val="7"/>
        </w:numPr>
        <w:spacing w:lineRule="auto"/>
      </w:pPr>
      <w:r>
        <w:rPr/>
        <w:t xml:space="preserve">Cuomo, K. M., &amp; Oppenheim, A. V. (1993). Circuit Implementation of Synchronized Chaos with Applications to Communications. </w:t>
      </w:r>
      <w:r>
        <w:rPr>
          <w:i/>
        </w:rPr>
        <w:t xml:space="preserve">Phys. Rev. Lett.</w:t>
      </w:r>
      <w:r>
        <w:rPr/>
        <w:t xml:space="preserve">, 71(1), 65-68.</w:t>
      </w:r>
    </w:p>
    <w:p>
      <w:pPr>
        <w:numPr>
          <w:ilvl w:val="0"/>
          <w:numId w:val="7"/>
        </w:numPr>
        <w:spacing w:lineRule="auto"/>
      </w:pPr>
      <w:r>
        <w:rPr/>
        <w:t xml:space="preserve">IEEE Standard for Broadband over Power Line Networks (2013). </w:t>
      </w:r>
      <w:r>
        <w:rPr>
          <w:i/>
        </w:rPr>
        <w:t xml:space="preserve">IEEE Std 1901.2-2013</w:t>
      </w:r>
      <w:r>
        <w:rPr/>
        <w:t xml:space="preserve">.</w:t>
      </w:r>
    </w:p>
    <w:p>
      <w:pPr>
        <w:spacing w:lineRule="auto"/>
      </w:pPr>
      <w:r>
        <w:rPr>
          <w:noProof/>
        </w:rPr>
        <w:pict>
          <v:rect alt="" style="width:432pt;height:.05pt;mso-width-percent:0;mso-height-percent:0;mso-width-percent:0;mso-height-percent:0" o:hralign="center" o:hrstd="t" o:hr="t"/>
        </w:pict>
      </w:r>
    </w:p>
    <w:p>
      <w:pPr>
        <w:spacing w:line="271" w:before="240" w:lineRule="auto"/>
      </w:pPr>
      <w:r>
        <w:rPr>
          <w:b/>
          <w:sz w:val="33"/>
        </w:rPr>
        <w:t xml:space="preserve">图表说明</w:t>
      </w:r>
    </w:p>
    <w:p>
      <w:pPr>
        <w:numPr>
          <w:ilvl w:val="0"/>
          <w:numId w:val="8"/>
        </w:numPr>
        <w:spacing w:lineRule="auto"/>
      </w:pPr>
      <w:r>
        <w:rPr>
          <w:b/>
        </w:rPr>
        <w:t xml:space="preserve">图1</w:t>
      </w:r>
      <w:r>
        <w:rPr>
          <w:rFonts w:eastAsia="Georgia" w:cs="Georgia" w:ascii="Georgia" w:hAnsi="Georgia"/>
        </w:rPr>
        <w:t xml:space="preserve">：混沌调制电流系统框图（含Lorenz电路、调制器、信道）。</w:t>
      </w:r>
    </w:p>
    <w:p>
      <w:pPr>
        <w:numPr>
          <w:ilvl w:val="0"/>
          <w:numId w:val="8"/>
        </w:numPr>
        <w:spacing w:lineRule="auto"/>
      </w:pPr>
      <w:r>
        <w:rPr>
          <w:b/>
        </w:rPr>
        <w:t xml:space="preserve">图2</w:t>
      </w:r>
      <w:r>
        <w:rPr>
          <w:rFonts w:eastAsia="Georgia" w:cs="Georgia" w:ascii="Georgia" w:hAnsi="Georgia"/>
        </w:rPr>
        <w:t xml:space="preserve">：基于运算放大器的Lorenz系统硬件实现电路图。</w:t>
      </w:r>
    </w:p>
    <w:p>
      <w:pPr>
        <w:numPr>
          <w:ilvl w:val="0"/>
          <w:numId w:val="8"/>
        </w:numPr>
        <w:spacing w:lineRule="auto"/>
      </w:pPr>
      <w:r>
        <w:rPr>
          <w:b/>
        </w:rPr>
        <w:t xml:space="preserve">图3</w:t>
      </w:r>
      <w:r>
        <w:rPr>
          <w:rFonts w:eastAsia="Georgia" w:cs="Georgia" w:ascii="Georgia" w:hAnsi="Georgia"/>
        </w:rPr>
        <w:t xml:space="preserve">：调制电流时域波形与频谱特性（仿真结果）。</w:t>
      </w:r>
    </w:p>
    <w:p>
      <w:pPr>
        <w:spacing w:lineRule="auto"/>
      </w:pPr>
      <w:r>
        <w:rPr>
          <w:noProof/>
        </w:rPr>
        <w:pict>
          <v:rect alt="" style="width:432pt;height:.05pt;mso-width-percent:0;mso-height-percent:0;mso-width-percent:0;mso-height-percent:0" o:hralign="center" o:hrstd="t" o:hr="t"/>
        </w:pict>
      </w:r>
    </w:p>
    <w:p>
      <w:pPr>
        <w:spacing w:after="220" w:lineRule="auto"/>
      </w:pPr>
      <w:r>
        <w:rPr>
          <w:rFonts w:eastAsia="Georgia" w:cs="Georgia" w:ascii="Georgia" w:hAnsi="Georgia"/>
        </w:rPr>
        <w:t xml:space="preserve">以上内容严格基于混沌动力学理论、经典文献参数及实际工程约束撰写，可支撑论文的理论严谨性与创新性声明。如需补充实验细节或扩展对比维度，请进一步说明。</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2025-04-07T17:07:31.239Z</dcterms:created>
  <dcterms:modified xsi:type="dcterms:W3CDTF">2025-04-07T17:07:31.239Z</dcterms:modified>
</cp:coreProperties>
</file>