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rFonts w:ascii="Times New Roman" w:hAnsi="Times New Roman"/>
          <w:b/>
          <w:i w:val="0"/>
          <w:sz w:val="28"/>
        </w:rPr>
        <w:t>Interpretable Discovery of Lagged Climate Precursors for Vegetation-Index Stress across Australia</w:t>
      </w:r>
    </w:p>
    <w:p>
      <w:pPr>
        <w:spacing w:before="0" w:after="40"/>
        <w:jc w:val="center"/>
      </w:pPr>
      <w:r>
        <w:rPr>
          <w:rFonts w:ascii="Times New Roman" w:hAnsi="Times New Roman" w:eastAsia="Times New Roman" w:cs="Times New Roman"/>
          <w:rFonts w:ascii="Times New Roman" w:hAnsi="Times New Roman"/>
          <w:b w:val="0"/>
          <w:i w:val="0"/>
          <w:sz w:val="24"/>
        </w:rPr>
        <w:t>Zhuoxian Wu</w:t>
      </w:r>
    </w:p>
    <w:p>
      <w:pPr>
        <w:spacing w:after="120"/>
        <w:jc w:val="center"/>
      </w:pPr>
      <w:r>
        <w:rPr>
          <w:rFonts w:ascii="Times New Roman" w:hAnsi="Times New Roman" w:eastAsia="Times New Roman" w:cs="Times New Roman"/>
          <w:rFonts w:ascii="Times New Roman" w:hAnsi="Times New Roman"/>
          <w:b w:val="0"/>
          <w:i w:val="0"/>
          <w:sz w:val="20"/>
        </w:rPr>
        <w:t>Guangdong Neusoft Institute of Technology, China</w:t>
      </w:r>
    </w:p>
    <w:p>
      <w:pPr>
        <w:jc w:val="center"/>
      </w:pPr>
      <w:r>
        <w:rPr>
          <w:rFonts w:ascii="Times New Roman" w:hAnsi="Times New Roman" w:eastAsia="Times New Roman" w:cs="Times New Roman"/>
          <w:rFonts w:ascii="Times New Roman" w:hAnsi="Times New Roman"/>
          <w:b w:val="0"/>
          <w:i/>
          <w:sz w:val="18"/>
        </w:rPr>
        <w:t>Correspondence: wum2371@gmail.com</w:t>
      </w:r>
    </w:p>
    <w:p/>
    <w:p>
      <w:pPr>
        <w:pStyle w:val="Heading1"/>
      </w:pPr>
      <w:r>
        <w:rPr>
          <w:rFonts w:ascii="Times New Roman" w:hAnsi="Times New Roman" w:eastAsia="Times New Roman" w:cs="Times New Roman"/>
          <w:rFonts w:ascii="Times New Roman" w:hAnsi="Times New Roman"/>
          <w:color w:val="000000"/>
        </w:rPr>
        <w:t>Abstract</w:t>
      </w:r>
    </w:p>
    <w:p>
      <w:pPr>
        <w:spacing w:line="276" w:lineRule="auto"/>
      </w:pPr>
      <w:r>
        <w:rPr>
          <w:rFonts w:ascii="Times New Roman" w:hAnsi="Times New Roman" w:eastAsia="Times New Roman" w:cs="Times New Roman"/>
          <w:rFonts w:ascii="Times New Roman" w:hAnsi="Times New Roman"/>
          <w:b w:val="0"/>
          <w:i w:val="0"/>
          <w:sz w:val="22"/>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Only the persistence baseline yields a positive skill score (0.319) relative to the majority-class predictor.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w:t>
      </w:r>
    </w:p>
    <w:p>
      <w:r>
        <w:rPr>
          <w:rFonts w:ascii="Times New Roman" w:hAnsi="Times New Roman" w:eastAsia="Times New Roman" w:cs="Times New Roman"/>
          <w:rFonts w:ascii="Times New Roman" w:hAnsi="Times New Roman"/>
          <w:b/>
          <w:i w:val="0"/>
          <w:sz w:val="18"/>
        </w:rPr>
        <w:t xml:space="preserve">Keywords: </w:t>
      </w:r>
      <w:r>
        <w:rPr>
          <w:rFonts w:ascii="Times New Roman" w:hAnsi="Times New Roman" w:eastAsia="Times New Roman" w:cs="Times New Roman"/>
          <w:rFonts w:ascii="Times New Roman" w:hAnsi="Times New Roman"/>
          <w:b w:val="0"/>
          <w:i w:val="0"/>
          <w:sz w:val="18"/>
        </w:rPr>
        <w:t>MODIS; ERA5-Land; vegetation index; climate precursor; vapour pressure deficit; soil moisture; early warning; Australia; spatial grid alignment; false alarm ratio</w:t>
      </w:r>
    </w:p>
    <w:p>
      <w:r>
        <w:br w:type="page"/>
      </w:r>
    </w:p>
    <w:p>
      <w:pPr>
        <w:pStyle w:val="Heading1"/>
      </w:pPr>
      <w:r>
        <w:rPr>
          <w:rFonts w:ascii="Times New Roman" w:hAnsi="Times New Roman" w:eastAsia="Times New Roman" w:cs="Times New Roman"/>
          <w:rFonts w:ascii="Times New Roman" w:hAnsi="Times New Roman"/>
          <w:color w:val="000000"/>
        </w:rPr>
        <w:t>1. Introduction</w:t>
      </w:r>
    </w:p>
    <w:p>
      <w:pPr>
        <w:spacing w:line="276" w:lineRule="auto"/>
      </w:pPr>
      <w:r>
        <w:rPr>
          <w:rFonts w:ascii="Times New Roman" w:hAnsi="Times New Roman" w:eastAsia="Times New Roman" w:cs="Times New Roman"/>
          <w:rFonts w:ascii="Times New Roman" w:hAnsi="Times New Roman"/>
          <w:b w:val="0"/>
          <w:i w:val="0"/>
          <w:sz w:val="22"/>
        </w:rPr>
        <w:t>Current operational drought and heat-stress monitoring relies predominantly on single-variable indices such as the Standardized Precipitation-Evapotranspiration Index (SPEI) or temperature-percentile thresholds [8]. 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 First, many studies treat satellite vegetation indices and reanalysis climate data as if they share a common spatial grid, when in practice their native projections and resolutions differ—a misalignment that can produce spurious spatial correlations. Second, discovered climate precursors are rarely compared against simple temporal baselines such as the persistence of a previous stress event, making it difficult to assess whether the precursor adds value beyond temporal autocorrelation. Third, the spatial transferability of discovered precursors—whether a signal learned in one region holds in another—is seldom tested with the same rigour as temporal holdout.</w:t>
      </w:r>
    </w:p>
    <w:p>
      <w:pPr>
        <w:spacing w:line="276" w:lineRule="auto"/>
      </w:pPr>
      <w:r>
        <w:rPr>
          <w:rFonts w:ascii="Times New Roman" w:hAnsi="Times New Roman" w:eastAsia="Times New Roman" w:cs="Times New Roman"/>
          <w:rFonts w:ascii="Times New Roman" w:hAnsi="Times New Roman"/>
          <w:b w:val="0"/>
          <w:i w:val="0"/>
          <w:sz w:val="22"/>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 A central methodological requirement is that MODIS and ERA5 data must reside on the same pixel grid before any analysis proceeds—an automated grid-alignment audit verifies this condition for every exported file.</w:t>
      </w:r>
    </w:p>
    <w:p>
      <w:pPr>
        <w:pStyle w:val="Heading1"/>
      </w:pPr>
      <w:r>
        <w:rPr>
          <w:rFonts w:ascii="Times New Roman" w:hAnsi="Times New Roman" w:eastAsia="Times New Roman" w:cs="Times New Roman"/>
          <w:rFonts w:ascii="Times New Roman" w:hAnsi="Times New Roman"/>
          <w:color w:val="000000"/>
        </w:rPr>
        <w:t>2. Materials and Methods</w:t>
      </w:r>
    </w:p>
    <w:p>
      <w:pPr>
        <w:spacing w:line="276" w:lineRule="auto"/>
      </w:pPr>
      <w:r>
        <w:rPr>
          <w:rFonts w:ascii="Times New Roman" w:hAnsi="Times New Roman" w:eastAsia="Times New Roman" w:cs="Times New Roman"/>
          <w:rFonts w:ascii="Times New Roman" w:hAnsi="Times New Roman"/>
          <w:b w:val="0"/>
          <w:i w:val="0"/>
          <w:sz w:val="22"/>
        </w:rPr>
        <w:t>### 2.1 Data Sources and Shared-Grid Preprocessing</w:t>
      </w:r>
    </w:p>
    <w:p>
      <w:pPr>
        <w:spacing w:line="276" w:lineRule="auto"/>
      </w:pPr>
      <w:r>
        <w:rPr>
          <w:rFonts w:ascii="Times New Roman" w:hAnsi="Times New Roman" w:eastAsia="Times New Roman" w:cs="Times New Roman"/>
          <w:rFonts w:ascii="Times New Roman" w:hAnsi="Times New Roman"/>
          <w:b w:val="0"/>
          <w:i w:val="0"/>
          <w:sz w:val="22"/>
        </w:rPr>
        <w:t>MODIS Terra (MOD13Q1 v061) and Aqua (MYD13Q1 v061) 16-day vegetation-index products were accessed via Google Earth Engine [11] and exported as GeoTIFF files on a unified 0.25-degree geographic grid (EPSG:4326) spanning 109.75°E–150.25°E, 40.25°S–10.00°S (162 × 121 pixels). The MODIS products natively use a sinusoidal projection at approximately 250 m resolution; the GEE export pipeline reprojects both MODIS and ERA5 data to the shared grid at export time. 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 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line="276" w:lineRule="auto"/>
      </w:pPr>
      <w:r>
        <w:rPr>
          <w:rFonts w:ascii="Times New Roman" w:hAnsi="Times New Roman" w:eastAsia="Times New Roman" w:cs="Times New Roman"/>
          <w:rFonts w:ascii="Times New Roman" w:hAnsi="Times New Roman"/>
          <w:b w:val="0"/>
          <w:i w:val="0"/>
          <w:sz w:val="22"/>
        </w:rPr>
        <w:t>ERA5-Land hourly climate reanalysis [7] was accessed via the same GEE instance and exported on the identical spatial grid at 16-day compositing resolution. 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 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 Twenty-six annual GeoTIFF files were produced for MODIS (2000–2025) and 26 for ERA5 (2000–2025).</w:t>
      </w:r>
    </w:p>
    <w:p>
      <w:pPr>
        <w:spacing w:line="276" w:lineRule="auto"/>
      </w:pPr>
      <w:r>
        <w:rPr>
          <w:rFonts w:ascii="Times New Roman" w:hAnsi="Times New Roman" w:eastAsia="Times New Roman" w:cs="Times New Roman"/>
          <w:rFonts w:ascii="Times New Roman" w:hAnsi="Times New Roman"/>
          <w:b w:val="0"/>
          <w:i w:val="0"/>
          <w:sz w:val="22"/>
        </w:rPr>
        <w:t>### 2.2 Grid-Alignment Audit</w:t>
      </w:r>
    </w:p>
    <w:p>
      <w:pPr>
        <w:spacing w:line="276" w:lineRule="auto"/>
      </w:pPr>
      <w:r>
        <w:rPr>
          <w:rFonts w:ascii="Times New Roman" w:hAnsi="Times New Roman" w:eastAsia="Times New Roman" w:cs="Times New Roman"/>
          <w:rFonts w:ascii="Times New Roman" w:hAnsi="Times New Roman"/>
          <w:b w:val="0"/>
          <w:i w:val="0"/>
          <w:sz w:val="22"/>
        </w:rPr>
        <w:t>An automated audit script verified that all 52 exported GeoTIFF files share identical CRS (EPSG:4326), affine transform ([0.25, 0, 109.75, 0, –0.25, –10.00]), width (162 pixels), and height (121 pixels). The audit must return PASS_SHARED_GRID before any downstream merging or analysis is permitted. This step ensures that pixel identifiers of the form p{row}c{col} carry consistent spatial meaning across the MODIS and ERA5 datasets.</w:t>
      </w:r>
    </w:p>
    <w:p>
      <w:pPr>
        <w:spacing w:line="276" w:lineRule="auto"/>
      </w:pPr>
      <w:r>
        <w:rPr>
          <w:rFonts w:ascii="Times New Roman" w:hAnsi="Times New Roman" w:eastAsia="Times New Roman" w:cs="Times New Roman"/>
          <w:rFonts w:ascii="Times New Roman" w:hAnsi="Times New Roman"/>
          <w:b w:val="0"/>
          <w:i w:val="0"/>
          <w:sz w:val="22"/>
        </w:rPr>
        <w:t>### 2.3 Vegetation Anomaly and Event Definition</w:t>
      </w:r>
    </w:p>
    <w:p>
      <w:pPr>
        <w:spacing w:line="276" w:lineRule="auto"/>
      </w:pPr>
      <w:r>
        <w:rPr>
          <w:rFonts w:ascii="Times New Roman" w:hAnsi="Times New Roman" w:eastAsia="Times New Roman" w:cs="Times New Roman"/>
          <w:rFonts w:ascii="Times New Roman" w:hAnsi="Times New Roman"/>
          <w:b w:val="0"/>
          <w:i w:val="0"/>
          <w:sz w:val="22"/>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 For each observation, the EVI anomaly was defined as the departure from the pixel''s day-of-year climatological mean. Observations falling below the pixel-level 10th percentile of the anomaly distribution were considered candidate stress observations. 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 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line="276" w:lineRule="auto"/>
      </w:pPr>
      <w:r>
        <w:rPr>
          <w:rFonts w:ascii="Times New Roman" w:hAnsi="Times New Roman" w:eastAsia="Times New Roman" w:cs="Times New Roman"/>
          <w:rFonts w:ascii="Times New Roman" w:hAnsi="Times New Roman"/>
          <w:b w:val="0"/>
          <w:i w:val="0"/>
          <w:sz w:val="22"/>
        </w:rPr>
        <w:t>### 2.4 Climate Precursor Features</w:t>
      </w:r>
    </w:p>
    <w:p>
      <w:pPr>
        <w:spacing w:line="276" w:lineRule="auto"/>
      </w:pPr>
      <w:r>
        <w:rPr>
          <w:rFonts w:ascii="Times New Roman" w:hAnsi="Times New Roman" w:eastAsia="Times New Roman" w:cs="Times New Roman"/>
          <w:rFonts w:ascii="Times New Roman" w:hAnsi="Times New Roman"/>
          <w:b w:val="0"/>
          <w:i w:val="0"/>
          <w:sz w:val="22"/>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 This procedure produced 20 lagged anomaly features (5 variables × 4 lead times). Dewpoint temperature was used only in the VPD calculation and was not included as a separate predictor.</w:t>
      </w:r>
    </w:p>
    <w:p>
      <w:pPr>
        <w:spacing w:line="276" w:lineRule="auto"/>
      </w:pPr>
      <w:r>
        <w:rPr>
          <w:rFonts w:ascii="Times New Roman" w:hAnsi="Times New Roman" w:eastAsia="Times New Roman" w:cs="Times New Roman"/>
          <w:rFonts w:ascii="Times New Roman" w:hAnsi="Times New Roman"/>
          <w:b w:val="0"/>
          <w:i w:val="0"/>
          <w:sz w:val="22"/>
        </w:rPr>
        <w:t>### 2.5 Model Evaluation and Baselines</w:t>
      </w:r>
    </w:p>
    <w:p>
      <w:pPr>
        <w:spacing w:line="276" w:lineRule="auto"/>
      </w:pPr>
      <w:r>
        <w:rPr>
          <w:rFonts w:ascii="Times New Roman" w:hAnsi="Times New Roman" w:eastAsia="Times New Roman" w:cs="Times New Roman"/>
          <w:rFonts w:ascii="Times New Roman" w:hAnsi="Times New Roman"/>
          <w:b w:val="0"/>
          <w:i w:val="0"/>
          <w:sz w:val="22"/>
        </w:rPr>
        <w:t>Candidate precursors were ranked by the absolute value of the point-biserial correlation between each lagged climate anomaly and the binary stress-event label. 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line="276" w:lineRule="auto"/>
      </w:pPr>
      <w:r>
        <w:rPr>
          <w:rFonts w:ascii="Times New Roman" w:hAnsi="Times New Roman" w:eastAsia="Times New Roman" w:cs="Times New Roman"/>
          <w:rFonts w:ascii="Times New Roman" w:hAnsi="Times New Roman"/>
          <w:b w:val="0"/>
          <w:i w:val="0"/>
          <w:sz w:val="22"/>
        </w:rPr>
        <w:t>Primary evaluation metrics were precision (positive predictive value), recall (sensitivity), false-alarm ratio (false positives / total predicted positives), F1-score, and PR-AUC. 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 We emphasise that for imbalanced event-detection problems with low base rates (~7%), accuracy is dominated by the majority class; precision, recall, and false-alarm ratio at the pixel–window level are the primary metrics of interest.</w:t>
      </w:r>
    </w:p>
    <w:p>
      <w:pPr>
        <w:spacing w:line="276" w:lineRule="auto"/>
      </w:pPr>
      <w:r>
        <w:rPr>
          <w:rFonts w:ascii="Times New Roman" w:hAnsi="Times New Roman" w:eastAsia="Times New Roman" w:cs="Times New Roman"/>
          <w:rFonts w:ascii="Times New Roman" w:hAnsi="Times New Roman"/>
          <w:b w:val="0"/>
          <w:i w:val="0"/>
          <w:sz w:val="22"/>
        </w:rPr>
        <w:t>### 2.6 Machine-Learning Models</w:t>
      </w:r>
    </w:p>
    <w:p>
      <w:pPr>
        <w:spacing w:line="276" w:lineRule="auto"/>
      </w:pPr>
      <w:r>
        <w:rPr>
          <w:rFonts w:ascii="Times New Roman" w:hAnsi="Times New Roman" w:eastAsia="Times New Roman" w:cs="Times New Roman"/>
          <w:rFonts w:ascii="Times New Roman" w:hAnsi="Times New Roman"/>
          <w:b w:val="0"/>
          <w:i w:val="0"/>
          <w:sz w:val="22"/>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 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 Both models were evaluated on the temporal holdout set (2019–2025) using the same metrics as the threshold-based baselines. No early stopping or calibration was applied.</w:t>
      </w:r>
    </w:p>
    <w:p>
      <w:pPr>
        <w:spacing w:line="276" w:lineRule="auto"/>
      </w:pPr>
      <w:r>
        <w:rPr>
          <w:rFonts w:ascii="Times New Roman" w:hAnsi="Times New Roman" w:eastAsia="Times New Roman" w:cs="Times New Roman"/>
          <w:rFonts w:ascii="Times New Roman" w:hAnsi="Times New Roman"/>
          <w:b w:val="0"/>
          <w:i w:val="0"/>
          <w:sz w:val="22"/>
        </w:rPr>
        <w:t>### 2.7 Temporal and Spatial Validation</w:t>
      </w:r>
    </w:p>
    <w:p>
      <w:pPr>
        <w:spacing w:line="276" w:lineRule="auto"/>
      </w:pPr>
      <w:r>
        <w:rPr>
          <w:rFonts w:ascii="Times New Roman" w:hAnsi="Times New Roman" w:eastAsia="Times New Roman" w:cs="Times New Roman"/>
          <w:rFonts w:ascii="Times New Roman" w:hAnsi="Times New Roman"/>
          <w:b w:val="0"/>
          <w:i w:val="0"/>
          <w:sz w:val="22"/>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 For each held-out region, models were trained on the remaining 19 regions and evaluated on the held-out region.</w:t>
      </w:r>
    </w:p>
    <w:p>
      <w:pPr>
        <w:spacing w:line="276" w:lineRule="auto"/>
      </w:pPr>
      <w:r>
        <w:rPr>
          <w:rFonts w:ascii="Times New Roman" w:hAnsi="Times New Roman" w:eastAsia="Times New Roman" w:cs="Times New Roman"/>
          <w:rFonts w:ascii="Times New Roman" w:hAnsi="Times New Roman"/>
          <w:b w:val="0"/>
          <w:i w:val="0"/>
          <w:sz w:val="22"/>
        </w:rPr>
        <w:t>### 2.7 Robustness Checks</w:t>
      </w:r>
    </w:p>
    <w:p>
      <w:pPr>
        <w:spacing w:line="276" w:lineRule="auto"/>
      </w:pPr>
      <w:r>
        <w:rPr>
          <w:rFonts w:ascii="Times New Roman" w:hAnsi="Times New Roman" w:eastAsia="Times New Roman" w:cs="Times New Roman"/>
          <w:rFonts w:ascii="Times New Roman" w:hAnsi="Times New Roman"/>
          <w:b w:val="0"/>
          <w:i w:val="0"/>
          <w:sz w:val="22"/>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line="276" w:lineRule="auto"/>
      </w:pPr>
      <w:r>
        <w:rPr>
          <w:rFonts w:ascii="Times New Roman" w:hAnsi="Times New Roman" w:eastAsia="Times New Roman" w:cs="Times New Roman"/>
          <w:rFonts w:ascii="Times New Roman" w:hAnsi="Times New Roman"/>
          <w:b w:val="0"/>
          <w:i w:val="0"/>
          <w:sz w:val="22"/>
        </w:rPr>
        <w:t>### 2.8 Use of AI-Assisted Tools</w:t>
      </w:r>
    </w:p>
    <w:p>
      <w:pPr>
        <w:spacing w:line="276" w:lineRule="auto"/>
      </w:pPr>
      <w:r>
        <w:rPr>
          <w:rFonts w:ascii="Times New Roman" w:hAnsi="Times New Roman" w:eastAsia="Times New Roman" w:cs="Times New Roman"/>
          <w:rFonts w:ascii="Times New Roman" w:hAnsi="Times New Roman"/>
          <w:b w:val="0"/>
          <w:i w:val="0"/>
          <w:sz w:val="22"/>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pStyle w:val="Heading1"/>
      </w:pPr>
      <w:r>
        <w:rPr>
          <w:rFonts w:ascii="Times New Roman" w:hAnsi="Times New Roman" w:eastAsia="Times New Roman" w:cs="Times New Roman"/>
          <w:rFonts w:ascii="Times New Roman" w:hAnsi="Times New Roman"/>
          <w:color w:val="000000"/>
        </w:rPr>
        <w:t>3. Results</w:t>
      </w:r>
    </w:p>
    <w:p>
      <w:pPr>
        <w:spacing w:line="276" w:lineRule="auto"/>
      </w:pPr>
      <w:r>
        <w:rPr>
          <w:rFonts w:ascii="Times New Roman" w:hAnsi="Times New Roman" w:eastAsia="Times New Roman" w:cs="Times New Roman"/>
          <w:rFonts w:ascii="Times New Roman" w:hAnsi="Times New Roman"/>
          <w:b w:val="0"/>
          <w:i w:val="0"/>
          <w:sz w:val="22"/>
        </w:rPr>
        <w:t>### 3.1 Vegetation-Stress Event Catalogue</w:t>
      </w:r>
    </w:p>
    <w:p>
      <w:pPr>
        <w:spacing w:line="276" w:lineRule="auto"/>
      </w:pPr>
      <w:r>
        <w:rPr>
          <w:rFonts w:ascii="Times New Roman" w:hAnsi="Times New Roman" w:eastAsia="Times New Roman" w:cs="Times New Roman"/>
          <w:rFonts w:ascii="Times New Roman" w:hAnsi="Times New Roman"/>
          <w:b w:val="0"/>
          <w:i w:val="0"/>
          <w:sz w:val="22"/>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 Pixel-level EVI day-of-year climatologies were computed from the quality-filtered record, and negative anomalies exceeding the 10th percentile that persisted for at least two consecutive 16-day compositing periods were flagged as vegetation-stress events (Figure 2). This procedure yielded 1,438,750 anomaly records and a modelling-eligible sample of 7,287,280 rows, of which 503,743 (6.9%) carried positive stress-event labels.</w:t>
      </w:r>
    </w:p>
    <w:p>
      <w:pPr>
        <w:spacing w:line="276" w:lineRule="auto"/>
      </w:pPr>
      <w:r>
        <w:rPr>
          <w:rFonts w:ascii="Times New Roman" w:hAnsi="Times New Roman" w:eastAsia="Times New Roman" w:cs="Times New Roman"/>
          <w:rFonts w:ascii="Times New Roman" w:hAnsi="Times New Roman"/>
          <w:b w:val="0"/>
          <w:i w:val="0"/>
          <w:sz w:val="22"/>
        </w:rPr>
        <w:t>### 3.2 Climate Precursor Features</w:t>
      </w:r>
    </w:p>
    <w:p>
      <w:pPr>
        <w:spacing w:line="276" w:lineRule="auto"/>
      </w:pPr>
      <w:r>
        <w:rPr>
          <w:rFonts w:ascii="Times New Roman" w:hAnsi="Times New Roman" w:eastAsia="Times New Roman" w:cs="Times New Roman"/>
          <w:rFonts w:ascii="Times New Roman" w:hAnsi="Times New Roman"/>
          <w:b w:val="0"/>
          <w:i w:val="0"/>
          <w:sz w:val="22"/>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 Anomalies were computed relative to each pixel''s 26-year climatology and shifted to lead times of 16, 32, 48, and 64 days, producing 20 lagged anomaly features. All features were aligned to vegetation observations without using future information relative to each observation row.</w:t>
      </w:r>
    </w:p>
    <w:p>
      <w:pPr>
        <w:spacing w:line="276" w:lineRule="auto"/>
      </w:pPr>
      <w:r>
        <w:rPr>
          <w:rFonts w:ascii="Times New Roman" w:hAnsi="Times New Roman" w:eastAsia="Times New Roman" w:cs="Times New Roman"/>
          <w:rFonts w:ascii="Times New Roman" w:hAnsi="Times New Roman"/>
          <w:b w:val="0"/>
          <w:i w:val="0"/>
          <w:sz w:val="22"/>
        </w:rPr>
        <w:t>### 3.3 Discovery of Precursor Signals</w:t>
      </w:r>
    </w:p>
    <w:p>
      <w:pPr>
        <w:spacing w:line="276" w:lineRule="auto"/>
      </w:pPr>
      <w:r>
        <w:rPr>
          <w:rFonts w:ascii="Times New Roman" w:hAnsi="Times New Roman" w:eastAsia="Times New Roman" w:cs="Times New Roman"/>
          <w:rFonts w:ascii="Times New Roman" w:hAnsi="Times New Roman"/>
          <w:b w:val="0"/>
          <w:i w:val="0"/>
          <w:sz w:val="22"/>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 The predictive signal decayed monotonically with increasing lead time: soil-moisture correlation dropped from 0.210 at 16 days to 0.169 at 64 days, and VPD correlation dropped from 0.163 at 32 days to 0.144 at 64 days. Stress-event windows were characterised by soil-moisture anomalies approximately 0.03 units below climatology and VPD anomalies approximately 0.30 kPa above climatology relative to non-stress windows.</w:t>
      </w:r>
    </w:p>
    <w:p>
      <w:pPr>
        <w:spacing w:line="276" w:lineRule="auto"/>
      </w:pPr>
      <w:r>
        <w:rPr>
          <w:rFonts w:ascii="Times New Roman" w:hAnsi="Times New Roman" w:eastAsia="Times New Roman" w:cs="Times New Roman"/>
          <w:rFonts w:ascii="Times New Roman" w:hAnsi="Times New Roman"/>
          <w:b w:val="0"/>
          <w:i w:val="0"/>
          <w:sz w:val="22"/>
        </w:rPr>
        <w:t>### 3.4 Predictive Validation against Baselines</w:t>
      </w:r>
    </w:p>
    <w:p>
      <w:pPr>
        <w:spacing w:line="276" w:lineRule="auto"/>
      </w:pPr>
      <w:r>
        <w:rPr>
          <w:rFonts w:ascii="Times New Roman" w:hAnsi="Times New Roman" w:eastAsia="Times New Roman" w:cs="Times New Roman"/>
          <w:rFonts w:ascii="Times New Roman" w:hAnsi="Times New Roman"/>
          <w:b w:val="0"/>
          <w:i w:val="0"/>
          <w:sz w:val="22"/>
        </w:rPr>
        <w:t>We evaluated the discovered precursor signals against a suite of baselines on a temporal holdout comprising the most recent 20% of years (Figure 4). The persistence baseline—predicting a stress event whenever the previous 16-day window contained a stress event at the same pixel—achieved precision of 0.659 and recall of 0.661, yielding a skill score of 0.319 relative to the majority-class baseline and establishing a strong temporal benchmark. The majority-class baseline (always predict non-stress) achieved accuracy of 0.962, reflecting a stress-event prevalence of approximately 3.8% in the holdout set (lower than the full-period prevalence of 6.9% reported in Section 3.1).</w:t>
      </w:r>
    </w:p>
    <w:p>
      <w:pPr>
        <w:spacing w:line="276" w:lineRule="auto"/>
      </w:pPr>
      <w:r>
        <w:rPr>
          <w:rFonts w:ascii="Times New Roman" w:hAnsi="Times New Roman" w:eastAsia="Times New Roman" w:cs="Times New Roman"/>
          <w:rFonts w:ascii="Times New Roman" w:hAnsi="Times New Roman"/>
          <w:b w:val="0"/>
          <w:i w:val="0"/>
          <w:sz w:val="22"/>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 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 Notably, all climate-threshold models exhibited negative skill scores relative to the majority baseline, in contrast to the positive skill score of the persistence baseline.</w:t>
      </w:r>
    </w:p>
    <w:p>
      <w:pPr>
        <w:spacing w:line="276" w:lineRule="auto"/>
      </w:pPr>
      <w:r>
        <w:rPr>
          <w:rFonts w:ascii="Times New Roman" w:hAnsi="Times New Roman" w:eastAsia="Times New Roman" w:cs="Times New Roman"/>
          <w:rFonts w:ascii="Times New Roman" w:hAnsi="Times New Roman"/>
          <w:b w:val="0"/>
          <w:i w:val="0"/>
          <w:sz w:val="22"/>
        </w:rPr>
        <w:t>### 3.5 Spatial Transfer and Robustness</w:t>
      </w:r>
    </w:p>
    <w:p>
      <w:pPr>
        <w:spacing w:line="276" w:lineRule="auto"/>
      </w:pPr>
      <w:r>
        <w:rPr>
          <w:rFonts w:ascii="Times New Roman" w:hAnsi="Times New Roman" w:eastAsia="Times New Roman" w:cs="Times New Roman"/>
          <w:rFonts w:ascii="Times New Roman" w:hAnsi="Times New Roman"/>
          <w:b w:val="0"/>
          <w:i w:val="0"/>
          <w:sz w:val="22"/>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 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line="276" w:lineRule="auto"/>
      </w:pPr>
      <w:r>
        <w:rPr>
          <w:rFonts w:ascii="Times New Roman" w:hAnsi="Times New Roman" w:eastAsia="Times New Roman" w:cs="Times New Roman"/>
          <w:rFonts w:ascii="Times New Roman" w:hAnsi="Times New Roman"/>
          <w:b w:val="0"/>
          <w:i w:val="0"/>
          <w:sz w:val="22"/>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line="276" w:lineRule="auto"/>
      </w:pPr>
      <w:r>
        <w:rPr>
          <w:rFonts w:ascii="Times New Roman" w:hAnsi="Times New Roman" w:eastAsia="Times New Roman" w:cs="Times New Roman"/>
          <w:rFonts w:ascii="Times New Roman" w:hAnsi="Times New Roman"/>
          <w:b w:val="0"/>
          <w:i w:val="0"/>
          <w:sz w:val="22"/>
        </w:rPr>
        <w:t>### 3.6 Machine-Learning Model Comparison</w:t>
      </w:r>
    </w:p>
    <w:p>
      <w:pPr>
        <w:spacing w:line="276" w:lineRule="auto"/>
      </w:pPr>
      <w:r>
        <w:rPr>
          <w:rFonts w:ascii="Times New Roman" w:hAnsi="Times New Roman" w:eastAsia="Times New Roman" w:cs="Times New Roman"/>
          <w:rFonts w:ascii="Times New Roman" w:hAnsi="Times New Roman"/>
          <w:b w:val="0"/>
          <w:i w:val="0"/>
          <w:sz w:val="22"/>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 Models were evaluated on the 2,005,080-row temporal holdout set (2019–2025). The persistence baseline and the best single-variable threshold (VPD at 16-day lag) are included for comparison (Table 1).</w:t>
      </w:r>
    </w:p>
    <w:p>
      <w:pPr>
        <w:spacing w:line="276" w:lineRule="auto"/>
      </w:pPr>
      <w:r>
        <w:rPr>
          <w:rFonts w:ascii="Times New Roman" w:hAnsi="Times New Roman" w:eastAsia="Times New Roman" w:cs="Times New Roman"/>
          <w:rFonts w:ascii="Times New Roman" w:hAnsi="Times New Roman"/>
          <w:b w:val="0"/>
          <w:i w:val="0"/>
          <w:sz w:val="22"/>
        </w:rPr>
        <w:t>**Table 1.** Performance of ML models versus baseline predictors on the temporal holdout set.</w:t>
      </w:r>
    </w:p>
    <w:p>
      <w:pPr>
        <w:spacing w:line="276" w:lineRule="auto"/>
      </w:pPr>
      <w:r>
        <w:rPr>
          <w:rFonts w:ascii="Times New Roman" w:hAnsi="Times New Roman" w:eastAsia="Times New Roman" w:cs="Times New Roman"/>
          <w:rFonts w:ascii="Times New Roman" w:hAnsi="Times New Roman"/>
          <w:b w:val="0"/>
          <w:i w:val="0"/>
          <w:sz w:val="22"/>
        </w:rPr>
        <w:t>| Model | Precision | Recall | False Alarm Ratio |</w:t>
        <w:br/>
        <w:t>|-------|:---------:|:------:|:------------------:|</w:t>
        <w:br/>
        <w:t>| VPD 16d (single-variable threshold) | 0.055 | 0.609 | 0.945 |</w:t>
        <w:br/>
        <w:t>| Persistence (previous event) | 0.659 | 0.661 | 0.341 |</w:t>
        <w:br/>
        <w:t>| Random Forest (100 trees) | 0.185 | 0.797 | 0.815 |</w:t>
        <w:br/>
        <w:t>| XGBoost (100 trees) | 0.191 | 0.791 | 0.809 |</w:t>
      </w:r>
    </w:p>
    <w:p>
      <w:pPr>
        <w:spacing w:line="276" w:lineRule="auto"/>
      </w:pPr>
      <w:r>
        <w:rPr>
          <w:rFonts w:ascii="Times New Roman" w:hAnsi="Times New Roman" w:eastAsia="Times New Roman" w:cs="Times New Roman"/>
          <w:rFonts w:ascii="Times New Roman" w:hAnsi="Times New Roman"/>
          <w:b w:val="0"/>
          <w:i w:val="0"/>
          <w:sz w:val="22"/>
        </w:rPr>
        <w:t>Both ML models substantially improved recall relative to the best single-variable threshold (from 0.609 to ~0.79), detecting approximately 80% of vegetation-stress events. Precision improved by a factor of 3.4 (from 0.055 to ~0.19), and the false-alarm ratio decreased from 0.945 to ~0.81. 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line="276" w:lineRule="auto"/>
      </w:pPr>
      <w:r>
        <w:rPr>
          <w:rFonts w:ascii="Times New Roman" w:hAnsi="Times New Roman" w:eastAsia="Times New Roman" w:cs="Times New Roman"/>
          <w:rFonts w:ascii="Times New Roman" w:hAnsi="Times New Roman"/>
          <w:b w:val="0"/>
          <w:i w:val="0"/>
          <w:sz w:val="22"/>
        </w:rPr>
        <w:t>SHAP (SHapley Additive exPlanations) analysis of the XGBoost model on a 5,000-row holdout sample identified soil-moisture anomaly at 16-day lag as the dominant feature (SHAP importance = 0.519), followed by soil moisture at 32-day lag (0.370), 64-day lag (0.279), and 48-day lag (0.209). Vapour-pressure-deficit anomaly at 16-day lag ranked fifth (0.153), confirming that soil-moisture deficits are the most informative features for the ML model, consistent with the point-biserial correlation ranking.</w:t>
      </w:r>
    </w:p>
    <w:p>
      <w:pPr>
        <w:spacing w:line="276" w:lineRule="auto"/>
      </w:pPr>
      <w:r>
        <w:rPr>
          <w:rFonts w:ascii="Times New Roman" w:hAnsi="Times New Roman" w:eastAsia="Times New Roman" w:cs="Times New Roman"/>
          <w:rFonts w:ascii="Times New Roman" w:hAnsi="Times New Roman"/>
          <w:b w:val="0"/>
          <w:i w:val="0"/>
          <w:sz w:val="22"/>
        </w:rPr>
        <w:t>### 3.7 Latitude-Zone Stratification</w:t>
      </w:r>
    </w:p>
    <w:p>
      <w:pPr>
        <w:spacing w:line="276" w:lineRule="auto"/>
      </w:pPr>
      <w:r>
        <w:rPr>
          <w:rFonts w:ascii="Times New Roman" w:hAnsi="Times New Roman" w:eastAsia="Times New Roman" w:cs="Times New Roman"/>
          <w:rFonts w:ascii="Times New Roman" w:hAnsi="Times New Roman"/>
          <w:b w:val="0"/>
          <w:i w:val="0"/>
          <w:sz w:val="22"/>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line="276" w:lineRule="auto"/>
      </w:pPr>
      <w:r>
        <w:rPr>
          <w:rFonts w:ascii="Times New Roman" w:hAnsi="Times New Roman" w:eastAsia="Times New Roman" w:cs="Times New Roman"/>
          <w:rFonts w:ascii="Times New Roman" w:hAnsi="Times New Roman"/>
          <w:b w:val="0"/>
          <w:i w:val="0"/>
          <w:sz w:val="22"/>
        </w:rPr>
        <w:t>**Table 2.** XGBoost performance by latitude zone on the temporal holdout set.</w:t>
      </w:r>
    </w:p>
    <w:p>
      <w:pPr>
        <w:spacing w:line="276" w:lineRule="auto"/>
      </w:pPr>
      <w:r>
        <w:rPr>
          <w:rFonts w:ascii="Times New Roman" w:hAnsi="Times New Roman" w:eastAsia="Times New Roman" w:cs="Times New Roman"/>
          <w:rFonts w:ascii="Times New Roman" w:hAnsi="Times New Roman"/>
          <w:b w:val="0"/>
          <w:i w:val="0"/>
          <w:sz w:val="22"/>
        </w:rPr>
        <w:t>| Zone | Samples | Stress Rate | Precision | Recall | FAR |</w:t>
        <w:br/>
        <w:t>|------|:-------:|:-----------:|:---------:|:------:|:---:|</w:t>
        <w:br/>
        <w:t>| North (~10–20°S, tropical) | 445,842 | 6.3% | 0.180 | 0.864 | 0.820 |</w:t>
        <w:br/>
        <w:t>| Central (~20–30°S, subtropical) | 1,064,850 | 8.6% | 0.199 | 0.797 | 0.801 |</w:t>
        <w:br/>
        <w:t>| South (~30–40°S, temperate) | 494,388 | 6.2% | 0.181 | 0.682 | 0.819 |</w:t>
      </w:r>
    </w:p>
    <w:p>
      <w:pPr>
        <w:spacing w:line="276" w:lineRule="auto"/>
      </w:pPr>
      <w:r>
        <w:rPr>
          <w:rFonts w:ascii="Times New Roman" w:hAnsi="Times New Roman" w:eastAsia="Times New Roman" w:cs="Times New Roman"/>
          <w:rFonts w:ascii="Times New Roman" w:hAnsi="Times New Roman"/>
          <w:b w:val="0"/>
          <w:i w:val="0"/>
          <w:sz w:val="22"/>
        </w:rPr>
        <w:t>The central subtropical zone—which encompasses much of Australia''s arid and semi-arid interior—exhibited the highest precision (0.199) and lowest false-alarm ratio (0.801), consistent with stronger climate–vegetation coupling in water-limited ecosystems. The northern tropical zone achieved the highest recall (0.864) but with lower precision, suggesting that climate stress signals are widespread but less specific in tropical savanna regions. The southern temperate zone showed the lowest recall (0.682), indicating that vegetation stress in cooler, energy-limited systems may be driven by non-climatic factors (e.g., frost, fire) to a greater extent than in water-limited regions.</w:t>
      </w:r>
    </w:p>
    <w:p>
      <w:pPr>
        <w:pStyle w:val="Heading1"/>
      </w:pPr>
      <w:r>
        <w:rPr>
          <w:rFonts w:ascii="Times New Roman" w:hAnsi="Times New Roman" w:eastAsia="Times New Roman" w:cs="Times New Roman"/>
          <w:rFonts w:ascii="Times New Roman" w:hAnsi="Times New Roman"/>
          <w:color w:val="000000"/>
        </w:rPr>
        <w:t>4. Discussion</w:t>
      </w:r>
    </w:p>
    <w:p>
      <w:pPr>
        <w:spacing w:line="276" w:lineRule="auto"/>
      </w:pPr>
      <w:r>
        <w:rPr>
          <w:rFonts w:ascii="Times New Roman" w:hAnsi="Times New Roman" w:eastAsia="Times New Roman" w:cs="Times New Roman"/>
          <w:rFonts w:ascii="Times New Roman" w:hAnsi="Times New Roman"/>
          <w:b w:val="0"/>
          <w:i w:val="0"/>
          <w:sz w:val="22"/>
        </w:rPr>
        <w:t>Our results establish that interpretable climate precursor signals can be systematically discovered from satellite vegetation records and reanalysis data on a unified spatial grid. 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line="276" w:lineRule="auto"/>
      </w:pPr>
      <w:r>
        <w:rPr>
          <w:rFonts w:ascii="Times New Roman" w:hAnsi="Times New Roman" w:eastAsia="Times New Roman" w:cs="Times New Roman"/>
          <w:rFonts w:ascii="Times New Roman" w:hAnsi="Times New Roman"/>
          <w:b w:val="0"/>
          <w:i w:val="0"/>
          <w:sz w:val="22"/>
        </w:rPr>
        <w:t>Three findings carry particular implications for satellite-based vegetation stress early warning. First, the persistence baseline is strikingly strong: knowledge of whether a pixel experienced stress in the previous 16-day window already captures two-thirds of future stress events, and it is the only model in our comparison that achieves a positive skill score relative to the majority baseline. This reflects the slow recovery of water-limited ecosystems after drought onset and implies that any proposed climate-based early-warning system must be benchmarked against persistence to demonstrate added value beyond temporal autocorrelation. Second, the false-alarm ratio of even the best single-variable climate precursor exceeds 0.94: VPD thresholds that detect 61% of stress events also flag approximately 41% of non-stress windows as potential precursors, meaning that over nine in ten positive predictions are false alarms. 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 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line="276" w:lineRule="auto"/>
      </w:pPr>
      <w:r>
        <w:rPr>
          <w:rFonts w:ascii="Times New Roman" w:hAnsi="Times New Roman" w:eastAsia="Times New Roman" w:cs="Times New Roman"/>
          <w:rFonts w:ascii="Times New Roman" w:hAnsi="Times New Roman"/>
          <w:b w:val="0"/>
          <w:i w:val="0"/>
          <w:sz w:val="22"/>
        </w:rPr>
        <w:t>Several limitations should be acknowledged. Our analysis is restricted to the Australian continent, where semi-arid ecosystems dominate and climate–vegetation coupling may be stronger than in energy-limited or disturbance-dominated biomes. Quality filtering of MODIS observations removes cloudy, smoky, and aerosol-contaminated periods, which systematically excludes observations during active fire seasons and monsoon periods when vegetation stress may be most acute. Our stress-event definition relies on a fixed EVI anomaly percentile; alternative definitions based on absolute EVI thresholds, cumulative-deficit approaches, or multi-sensor composites may yield different event catalogues. Latitude-zone stratification is a coarse proxy for climate regime; future work should incorporate aridity indices, MODIS land-cover classes (MCD12Q1), and plant functional type information for ecologically informed stratification. FLUXNET site-level ecosystem-function validation was designed into the pipeline but could not be completed within this study; its inclusion would strengthen the ecological interpretation of the discovered precursor states.</w:t>
      </w:r>
    </w:p>
    <w:p>
      <w:pPr>
        <w:spacing w:line="276" w:lineRule="auto"/>
      </w:pPr>
      <w:r>
        <w:rPr>
          <w:rFonts w:ascii="Times New Roman" w:hAnsi="Times New Roman" w:eastAsia="Times New Roman" w:cs="Times New Roman"/>
          <w:rFonts w:ascii="Times New Roman" w:hAnsi="Times New Roman"/>
          <w:b w:val="0"/>
          <w:i w:val="0"/>
          <w:sz w:val="22"/>
        </w:rPr>
        <w:t>The broader contribution of this work is the reproducible, grid-aligned methodology rather than any single precursor claim. By requiring that MODIS and ERA5 data share one pixel grid before analysis proceeds, we eliminate a subtle but pervasive source of spatial misalignment that affects large-scale remote-sensing studies. The full analysis pipeline—from GEE data export through quality filtering, anomaly computation, feature construction, baseline comparison, validation, and figure generation—is version-controlled and archived with a permanent DOI. The core finding is not that VPD or soil moisture precede vegetation stress, which is ecologically expected, but rather that climate-only precursors, while capturing a majority of stress events, generate unacceptably high false-alarm ratios for operational early warning. This finding refocuses attention toward integrating vegetation-memory, land-cover, and ecological-context information as necessary complements to climate-based precursors.</w:t>
      </w:r>
    </w:p>
    <w:p>
      <w:pPr>
        <w:pStyle w:val="Heading1"/>
      </w:pPr>
      <w:r>
        <w:rPr>
          <w:rFonts w:ascii="Times New Roman" w:hAnsi="Times New Roman" w:eastAsia="Times New Roman" w:cs="Times New Roman"/>
          <w:rFonts w:ascii="Times New Roman" w:hAnsi="Times New Roman"/>
          <w:color w:val="000000"/>
        </w:rPr>
        <w:t>5. Conclusions</w:t>
      </w:r>
    </w:p>
    <w:p>
      <w:pPr>
        <w:spacing w:line="276" w:lineRule="auto"/>
      </w:pPr>
      <w:r>
        <w:rPr>
          <w:rFonts w:ascii="Times New Roman" w:hAnsi="Times New Roman" w:eastAsia="Times New Roman" w:cs="Times New Roman"/>
          <w:rFonts w:ascii="Times New Roman" w:hAnsi="Times New Roman"/>
          <w:b w:val="0"/>
          <w:i w:val="0"/>
          <w:sz w:val="22"/>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 However, single-variable climate thresholds generate false-alarm ratios exceeding 0.94 and negative skill scores relative to the majority-class baseline—only the persistence of a previous stress event achieves a positive skill score (0.319). Spatial transfer of precursor signals across 20 grid-defined regions is modest, with region-level precision rarely exceeding 0.12 for the best-performing VPD precursor.</w:t>
      </w:r>
    </w:p>
    <w:p>
      <w:pPr>
        <w:spacing w:line="276" w:lineRule="auto"/>
      </w:pPr>
      <w:r>
        <w:rPr>
          <w:rFonts w:ascii="Times New Roman" w:hAnsi="Times New Roman" w:eastAsia="Times New Roman" w:cs="Times New Roman"/>
          <w:rFonts w:ascii="Times New Roman" w:hAnsi="Times New Roman"/>
          <w:b w:val="0"/>
          <w:i w:val="0"/>
          <w:sz w:val="22"/>
        </w:rPr>
        <w:t>These findings carry two implications for satellite-based vegetation stress early warning. First, any proposed climate-based early-warning system must be evaluated against a simple persistence baseline to demonstrate added value beyond temporal autocorrelation. Second, climate-only precursors, while useful for identifying elevated risk conditions, are insufficient for precise stress-event prediction without integrating vegetation-memory, land-cover type, soil properties, and other ecological-context information. The shared-grid methodology and publicly archived analysis pipeline provide a transferable template for extending this framework to other regions, biomes, and satellite data products.</w:t>
      </w:r>
    </w:p>
    <w:p>
      <w:pPr>
        <w:spacing w:line="276" w:lineRule="auto"/>
      </w:pPr>
      <w:r>
        <w:rPr>
          <w:rFonts w:ascii="Times New Roman" w:hAnsi="Times New Roman" w:eastAsia="Times New Roman" w:cs="Times New Roman"/>
          <w:rFonts w:ascii="Times New Roman" w:hAnsi="Times New Roman"/>
          <w:b w:val="0"/>
          <w:i w:val="0"/>
          <w:sz w:val="22"/>
        </w:rPr>
        <w:t>---</w:t>
      </w:r>
    </w:p>
    <w:p>
      <w:pPr>
        <w:pStyle w:val="Heading1"/>
      </w:pPr>
      <w:r>
        <w:rPr>
          <w:rFonts w:ascii="Times New Roman" w:hAnsi="Times New Roman" w:eastAsia="Times New Roman" w:cs="Times New Roman"/>
          <w:rFonts w:ascii="Times New Roman" w:hAnsi="Times New Roman"/>
          <w:color w:val="000000"/>
        </w:rPr>
        <w:t>References</w:t>
      </w:r>
    </w:p>
    <w:p>
      <w:pPr>
        <w:spacing w:line="276" w:lineRule="auto"/>
        <w:ind w:left="432" w:hanging="432"/>
      </w:pPr>
      <w:r>
        <w:rPr>
          <w:rFonts w:ascii="Times New Roman" w:hAnsi="Times New Roman" w:eastAsia="Times New Roman" w:cs="Times New Roman"/>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line="276" w:lineRule="auto"/>
        <w:ind w:left="432" w:hanging="432"/>
      </w:pPr>
      <w:r>
        <w:rPr>
          <w:rFonts w:ascii="Times New Roman" w:hAnsi="Times New Roman" w:eastAsia="Times New Roman" w:cs="Times New Roman"/>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line="276" w:lineRule="auto"/>
        <w:ind w:left="432" w:hanging="432"/>
      </w:pPr>
      <w:r>
        <w:rPr>
          <w:rFonts w:ascii="Times New Roman" w:hAnsi="Times New Roman" w:eastAsia="Times New Roman" w:cs="Times New Roman"/>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line="276" w:lineRule="auto"/>
        <w:ind w:left="432" w:hanging="432"/>
      </w:pPr>
      <w:r>
        <w:rPr>
          <w:rFonts w:ascii="Times New Roman" w:hAnsi="Times New Roman" w:eastAsia="Times New Roman" w:cs="Times New Roman"/>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line="276" w:lineRule="auto"/>
        <w:ind w:left="432" w:hanging="432"/>
      </w:pPr>
      <w:r>
        <w:rPr>
          <w:rFonts w:ascii="Times New Roman" w:hAnsi="Times New Roman" w:eastAsia="Times New Roman" w:cs="Times New Roman"/>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line="276" w:lineRule="auto"/>
        <w:ind w:left="432" w:hanging="432"/>
      </w:pPr>
      <w:r>
        <w:rPr>
          <w:rFonts w:ascii="Times New Roman" w:hAnsi="Times New Roman" w:eastAsia="Times New Roman" w:cs="Times New Roman"/>
          <w:rFonts w:ascii="Times New Roman" w:hAnsi="Times New Roman"/>
          <w:b w:val="0"/>
          <w:i w:val="0"/>
          <w:sz w:val="18"/>
        </w:rPr>
        <w:t>6. Didan, K. MOD13Q1 v061: MODIS/Terra Vegetation Indices 16-Day L3 Global 250 m SIN Grid. NASA LP DAAC, 2015. DOI: 10.5067/MODIS/MOD13Q1.061.</w:t>
      </w:r>
    </w:p>
    <w:p>
      <w:pPr>
        <w:spacing w:line="276" w:lineRule="auto"/>
        <w:ind w:left="432" w:hanging="432"/>
      </w:pPr>
      <w:r>
        <w:rPr>
          <w:rFonts w:ascii="Times New Roman" w:hAnsi="Times New Roman" w:eastAsia="Times New Roman" w:cs="Times New Roman"/>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line="276" w:lineRule="auto"/>
        <w:ind w:left="432" w:hanging="432"/>
      </w:pPr>
      <w:r>
        <w:rPr>
          <w:rFonts w:ascii="Times New Roman" w:hAnsi="Times New Roman" w:eastAsia="Times New Roman" w:cs="Times New Roman"/>
          <w:rFonts w:ascii="Times New Roman" w:hAnsi="Times New Roman"/>
          <w:b w:val="0"/>
          <w:i w:val="0"/>
          <w:sz w:val="18"/>
        </w:rPr>
        <w:t>8. Hao, Z.; Singh, V.P. Drought characterization from a multivariate perspective: A review. *J. Hydrol.* **2015**, *527*, 668–678. DOI: 10.1016/j.jhydrol.2015.05.031.</w:t>
      </w:r>
    </w:p>
    <w:p>
      <w:pPr>
        <w:spacing w:line="276" w:lineRule="auto"/>
        <w:ind w:left="432" w:hanging="432"/>
      </w:pPr>
      <w:r>
        <w:rPr>
          <w:rFonts w:ascii="Times New Roman" w:hAnsi="Times New Roman" w:eastAsia="Times New Roman" w:cs="Times New Roman"/>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line="276" w:lineRule="auto"/>
        <w:ind w:left="432" w:hanging="432"/>
      </w:pPr>
      <w:r>
        <w:rPr>
          <w:rFonts w:ascii="Times New Roman" w:hAnsi="Times New Roman" w:eastAsia="Times New Roman" w:cs="Times New Roman"/>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line="276" w:lineRule="auto"/>
        <w:ind w:left="432" w:hanging="432"/>
      </w:pPr>
      <w:r>
        <w:rPr>
          <w:rFonts w:ascii="Times New Roman" w:hAnsi="Times New Roman" w:eastAsia="Times New Roman" w:cs="Times New Roman"/>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line="276" w:lineRule="auto"/>
        <w:ind w:left="432" w:hanging="432"/>
      </w:pPr>
      <w:r>
        <w:rPr>
          <w:rFonts w:ascii="Times New Roman" w:hAnsi="Times New Roman" w:eastAsia="Times New Roman" w:cs="Times New Roman"/>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line="276" w:lineRule="auto"/>
        <w:ind w:left="432" w:hanging="432"/>
      </w:pPr>
      <w:r>
        <w:rPr>
          <w:rFonts w:ascii="Times New Roman" w:hAnsi="Times New Roman" w:eastAsia="Times New Roman" w:cs="Times New Roman"/>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line="276" w:lineRule="auto"/>
        <w:ind w:left="432" w:hanging="432"/>
      </w:pPr>
      <w:r>
        <w:rPr>
          <w:rFonts w:ascii="Times New Roman" w:hAnsi="Times New Roman" w:eastAsia="Times New Roman" w:cs="Times New Roman"/>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pStyle w:val="Heading1"/>
      </w:pPr>
      <w:r>
        <w:rPr>
          <w:rFonts w:ascii="Times New Roman" w:hAnsi="Times New Roman" w:eastAsia="Times New Roman" w:cs="Times New Roman"/>
          <w:rFonts w:ascii="Times New Roman" w:hAnsi="Times New Roman"/>
          <w:color w:val="000000"/>
        </w:rPr>
        <w:t>Supplementary Materials</w:t>
      </w:r>
    </w:p>
    <w:p>
      <w:pPr>
        <w:spacing w:line="276" w:lineRule="auto"/>
      </w:pPr>
      <w:r>
        <w:rPr>
          <w:rFonts w:ascii="Times New Roman" w:hAnsi="Times New Roman" w:eastAsia="Times New Roman" w:cs="Times New Roman"/>
          <w:rFonts w:ascii="Times New Roman" w:hAnsi="Times New Roman"/>
          <w:b w:val="0"/>
          <w:i w:val="0"/>
          <w:sz w:val="22"/>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pStyle w:val="Heading1"/>
      </w:pPr>
      <w:r>
        <w:rPr>
          <w:rFonts w:ascii="Times New Roman" w:hAnsi="Times New Roman" w:eastAsia="Times New Roman" w:cs="Times New Roman"/>
          <w:rFonts w:ascii="Times New Roman" w:hAnsi="Times New Roman"/>
          <w:color w:val="000000"/>
        </w:rPr>
        <w:t>Author Contributions</w:t>
      </w:r>
    </w:p>
    <w:p>
      <w:pPr>
        <w:spacing w:line="276" w:lineRule="auto"/>
      </w:pPr>
      <w:r>
        <w:rPr>
          <w:rFonts w:ascii="Times New Roman" w:hAnsi="Times New Roman" w:eastAsia="Times New Roman" w:cs="Times New Roman"/>
          <w:rFonts w:ascii="Times New Roman" w:hAnsi="Times New Roman"/>
          <w:b w:val="0"/>
          <w:i w:val="0"/>
          <w:sz w:val="22"/>
        </w:rPr>
        <w:t>Conceptualization, methodology, software, formal analysis, data curation, writing—original draft preparation, writing—review and editing: Z.W. The author has read and agreed to the published version of the manuscript.</w:t>
      </w:r>
    </w:p>
    <w:p>
      <w:pPr>
        <w:pStyle w:val="Heading1"/>
      </w:pPr>
      <w:r>
        <w:rPr>
          <w:rFonts w:ascii="Times New Roman" w:hAnsi="Times New Roman" w:eastAsia="Times New Roman" w:cs="Times New Roman"/>
          <w:rFonts w:ascii="Times New Roman" w:hAnsi="Times New Roman"/>
          <w:color w:val="000000"/>
        </w:rPr>
        <w:t>Funding</w:t>
      </w:r>
    </w:p>
    <w:p>
      <w:pPr>
        <w:spacing w:line="276" w:lineRule="auto"/>
      </w:pPr>
      <w:r>
        <w:rPr>
          <w:rFonts w:ascii="Times New Roman" w:hAnsi="Times New Roman" w:eastAsia="Times New Roman" w:cs="Times New Roman"/>
          <w:rFonts w:ascii="Times New Roman" w:hAnsi="Times New Roman"/>
          <w:b w:val="0"/>
          <w:i w:val="0"/>
          <w:sz w:val="22"/>
        </w:rPr>
        <w:t>This research received no external funding.</w:t>
      </w:r>
    </w:p>
    <w:p>
      <w:pPr>
        <w:pStyle w:val="Heading1"/>
      </w:pPr>
      <w:r>
        <w:rPr>
          <w:rFonts w:ascii="Times New Roman" w:hAnsi="Times New Roman" w:eastAsia="Times New Roman" w:cs="Times New Roman"/>
          <w:rFonts w:ascii="Times New Roman" w:hAnsi="Times New Roman"/>
          <w:color w:val="000000"/>
        </w:rPr>
        <w:t>Data Availability Statement</w:t>
      </w:r>
    </w:p>
    <w:p>
      <w:pPr>
        <w:spacing w:line="276" w:lineRule="auto"/>
      </w:pPr>
      <w:r>
        <w:rPr>
          <w:rFonts w:ascii="Times New Roman" w:hAnsi="Times New Roman" w:eastAsia="Times New Roman" w:cs="Times New Roman"/>
          <w:rFonts w:ascii="Times New Roman" w:hAnsi="Times New Roman"/>
          <w:b w:val="0"/>
          <w:i w:val="0"/>
          <w:sz w:val="22"/>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pStyle w:val="Heading1"/>
      </w:pPr>
      <w:r>
        <w:rPr>
          <w:rFonts w:ascii="Times New Roman" w:hAnsi="Times New Roman" w:eastAsia="Times New Roman" w:cs="Times New Roman"/>
          <w:rFonts w:ascii="Times New Roman" w:hAnsi="Times New Roman"/>
          <w:color w:val="000000"/>
        </w:rPr>
        <w:t>Conflicts of Interest</w:t>
      </w:r>
    </w:p>
    <w:p>
      <w:pPr>
        <w:spacing w:line="276" w:lineRule="auto"/>
      </w:pPr>
      <w:r>
        <w:rPr>
          <w:rFonts w:ascii="Times New Roman" w:hAnsi="Times New Roman" w:eastAsia="Times New Roman" w:cs="Times New Roman"/>
          <w:rFonts w:ascii="Times New Roman" w:hAnsi="Times New Roman"/>
          <w:b w:val="0"/>
          <w:i w:val="0"/>
          <w:sz w:val="22"/>
        </w:rPr>
        <w:t>The author declares no conflicts of interest.</w:t>
      </w:r>
    </w:p>
    <w:p>
      <w:pPr>
        <w:spacing w:line="276" w:lineRule="auto"/>
      </w:pPr>
      <w:r>
        <w:rPr>
          <w:rFonts w:ascii="Times New Roman" w:hAnsi="Times New Roman" w:eastAsia="Times New Roman" w:cs="Times New Roman"/>
          <w:rFonts w:ascii="Times New Roman" w:hAnsi="Times New Roman"/>
          <w:b w:val="0"/>
          <w:i w:val="0"/>
          <w:sz w:val="22"/>
        </w:rPr>
        <w:t>---</w:t>
      </w:r>
    </w:p>
    <w:p>
      <w:pPr>
        <w:spacing w:line="276" w:lineRule="auto"/>
      </w:pPr>
      <w:r>
        <w:rPr>
          <w:rFonts w:ascii="Times New Roman" w:hAnsi="Times New Roman" w:eastAsia="Times New Roman" w:cs="Times New Roman"/>
          <w:rFonts w:ascii="Times New Roman" w:hAnsi="Times New Roman"/>
          <w:b w:val="0"/>
          <w:i w:val="0"/>
          <w:sz w:val="22"/>
        </w:rPr>
        <w:t>*Manuscript prepared for submission to Remote Sensing (MDPI). v3, polished 2026-06-08.*</w:t>
      </w:r>
    </w:p>
    <w:p>
      <w:r>
        <w:br w:type="page"/>
      </w:r>
    </w:p>
    <w:p>
      <w:pPr>
        <w:pStyle w:val="Heading1"/>
      </w:pPr>
      <w:r>
        <w:rPr>
          <w:rFonts w:ascii="Times New Roman" w:hAnsi="Times New Roman" w:eastAsia="Times New Roman" w:cs="Times New Roman"/>
          <w:rFonts w:ascii="Times New Roman" w:hAnsi="Times New Roman"/>
          <w:color w:val="000000"/>
        </w:rPr>
        <w:t>Figure Legends</w:t>
      </w:r>
    </w:p>
    <w:p>
      <w:pPr>
        <w:spacing w:line="276" w:lineRule="auto"/>
      </w:pPr>
      <w:r>
        <w:rPr>
          <w:rFonts w:ascii="Times New Roman" w:hAnsi="Times New Roman" w:eastAsia="Times New Roman" w:cs="Times New Roman"/>
          <w:rFonts w:ascii="Times New Roman" w:hAnsi="Times New Roman"/>
          <w:b/>
          <w:i w:val="0"/>
          <w:sz w:val="18"/>
        </w:rPr>
        <w:t>Figure 1</w:t>
      </w:r>
      <w:r>
        <w:rPr>
          <w:rFonts w:ascii="Times New Roman" w:hAnsi="Times New Roman" w:eastAsia="Times New Roman" w:cs="Times New Roman"/>
          <w:rFonts w:ascii="Times New Roman" w:hAnsi="Times New Roman"/>
          <w:b w:val="0"/>
          <w:i w:val="0"/>
          <w:sz w:val="18"/>
        </w:rPr>
        <w:t>. Study area and shared 0.25 grid (162 x 121 pixels) over the Australian continent. Grid cells with valid MODIS observations after quality filtering are shown.</w:t>
      </w:r>
    </w:p>
    <w:p>
      <w:pPr>
        <w:spacing w:line="276" w:lineRule="auto"/>
      </w:pPr>
      <w:r>
        <w:rPr>
          <w:rFonts w:ascii="Times New Roman" w:hAnsi="Times New Roman" w:eastAsia="Times New Roman" w:cs="Times New Roman"/>
          <w:rFonts w:ascii="Times New Roman" w:hAnsi="Times New Roman"/>
          <w:b/>
          <w:i w:val="0"/>
          <w:sz w:val="18"/>
        </w:rPr>
        <w:t>Figure 2</w:t>
      </w:r>
      <w:r>
        <w:rPr>
          <w:rFonts w:ascii="Times New Roman" w:hAnsi="Times New Roman" w:eastAsia="Times New Roman" w:cs="Times New Roman"/>
          <w:rFonts w:ascii="Times New Roman" w:hAnsi="Times New Roman"/>
          <w:b w:val="0"/>
          <w:i w:val="0"/>
          <w:sz w:val="18"/>
        </w:rPr>
        <w:t>. Vegetation-stress event catalogue from 26 years (2000-2025) of 16-day MODIS EVI anomalies. (a) Spatial frequency. (b) Seasonal distribution.</w:t>
      </w:r>
    </w:p>
    <w:p>
      <w:pPr>
        <w:spacing w:line="276" w:lineRule="auto"/>
      </w:pPr>
      <w:r>
        <w:rPr>
          <w:rFonts w:ascii="Times New Roman" w:hAnsi="Times New Roman" w:eastAsia="Times New Roman" w:cs="Times New Roman"/>
          <w:rFonts w:ascii="Times New Roman" w:hAnsi="Times New Roman"/>
          <w:b/>
          <w:i w:val="0"/>
          <w:sz w:val="18"/>
        </w:rPr>
        <w:t>Figure 3</w:t>
      </w:r>
      <w:r>
        <w:rPr>
          <w:rFonts w:ascii="Times New Roman" w:hAnsi="Times New Roman" w:eastAsia="Times New Roman" w:cs="Times New Roman"/>
          <w:rFonts w:ascii="Times New Roman" w:hAnsi="Times New Roman"/>
          <w:b w:val="0"/>
          <w:i w:val="0"/>
          <w:sz w:val="18"/>
        </w:rPr>
        <w:t>. Ranking of 20 lagged climate precursors by absolute point-biserial correlation. Soil moisture at 16-day lag is strongest (|r| = 0.210).</w:t>
      </w:r>
    </w:p>
    <w:p>
      <w:pPr>
        <w:spacing w:line="276" w:lineRule="auto"/>
      </w:pPr>
      <w:r>
        <w:rPr>
          <w:rFonts w:ascii="Times New Roman" w:hAnsi="Times New Roman" w:eastAsia="Times New Roman" w:cs="Times New Roman"/>
          <w:rFonts w:ascii="Times New Roman" w:hAnsi="Times New Roman"/>
          <w:b/>
          <w:i w:val="0"/>
          <w:sz w:val="18"/>
        </w:rPr>
        <w:t>Figure 4</w:t>
      </w:r>
      <w:r>
        <w:rPr>
          <w:rFonts w:ascii="Times New Roman" w:hAnsi="Times New Roman" w:eastAsia="Times New Roman" w:cs="Times New Roman"/>
          <w:rFonts w:ascii="Times New Roman" w:hAnsi="Times New Roman"/>
          <w:b w:val="0"/>
          <w:i w:val="0"/>
          <w:sz w:val="18"/>
        </w:rPr>
        <w:t>. Predictive validation on temporal holdout (2019-2025): precision, recall, false-alarm ratio for threshold models, persistence, and ML classifiers.</w:t>
      </w:r>
    </w:p>
    <w:p>
      <w:pPr>
        <w:spacing w:line="276" w:lineRule="auto"/>
      </w:pPr>
      <w:r>
        <w:rPr>
          <w:rFonts w:ascii="Times New Roman" w:hAnsi="Times New Roman" w:eastAsia="Times New Roman" w:cs="Times New Roman"/>
          <w:rFonts w:ascii="Times New Roman" w:hAnsi="Times New Roman"/>
          <w:b/>
          <w:i w:val="0"/>
          <w:sz w:val="18"/>
        </w:rPr>
        <w:t>Figure 5</w:t>
      </w:r>
      <w:r>
        <w:rPr>
          <w:rFonts w:ascii="Times New Roman" w:hAnsi="Times New Roman" w:eastAsia="Times New Roman" w:cs="Times New Roman"/>
          <w:rFonts w:ascii="Times New Roman" w:hAnsi="Times New Roman"/>
          <w:b w:val="0"/>
          <w:i w:val="0"/>
          <w:sz w:val="18"/>
        </w:rPr>
        <w:t>. Spatial holdout across 20 regions. Per-region recall and precision for VPD at 16-day lag.</w:t>
      </w:r>
    </w:p>
    <w:p/>
    <w:p>
      <w:pPr>
        <w:spacing w:before="360"/>
        <w:jc w:val="center"/>
      </w:pPr>
      <w:r>
        <w:rPr>
          <w:rFonts w:ascii="Times New Roman" w:hAnsi="Times New Roman" w:eastAsia="Times New Roman" w:cs="Times New Roman"/>
          <w:rFonts w:ascii="Times New Roman" w:hAnsi="Times New Roman"/>
          <w:b w:val="0"/>
          <w:i/>
          <w:sz w:val="18"/>
        </w:rPr>
        <w:t>--- END ---</w:t>
      </w:r>
    </w:p>
    <w:sectPr w:rsidR="00FC693F" w:rsidRPr="0006063C" w:rsidSect="00034616">
      <w:pgSz w:w="11906" w:h="16838"/>
      <w:pgMar w:top="1134" w:right="1134" w:bottom="1134" w:left="1134" w:header="720" w:footer="720" w:gutter="0"/>
      <w:cols w:space="720"/>
      <w:docGrid w:linePitch="360"/>
      <w:lnNumType w:countBy="1"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eastAsia="Times New Roman" w:cs="Times New Roman"/>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jc w:val="left"/>
      <w:outlineLvl w:val="0"/>
    </w:pPr>
    <w:rPr>
      <w:rFonts w:ascii="Times New Roman" w:hAnsi="Times New Roman" w:eastAsia="Times New Roman" w:cs="Times New Roman"/>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eastAsia="Times New Roman" w:cs="Times New Roman"/>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eastAsia="Times New Roman" w:cs="Times New Roman"/>
      <w:rFonts w:asciiTheme="majorHAnsi" w:eastAsiaTheme="majorEastAsia" w:hAnsiTheme="majorHAnsi" w:cstheme="majorBidi" w:ascii="Times New Roman" w:hAnsi="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