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A shared-grid ecological informatics workflow aligns MODIS vegetation stress with ERA5-Land climate data (2000-2025).</w:t>
      </w:r>
    </w:p>
    <w:p/>
    <w:p>
      <w:r>
        <w:rPr>
          <w:rFonts w:ascii="Times New Roman" w:hAnsi="Times New Roman"/>
        </w:rPr>
        <w:t>Soil moisture and VPD dominate 16-32 day climate precursor signals across Australia.</w:t>
      </w:r>
    </w:p>
    <w:p/>
    <w:p>
      <w:r>
        <w:rPr>
          <w:rFonts w:ascii="Times New Roman" w:hAnsi="Times New Roman"/>
        </w:rPr>
        <w:t>XGBoost improves stress-event detection but climate-only models retain false-alarm ratios above 0.80.</w:t>
      </w:r>
    </w:p>
    <w:p/>
    <w:p>
      <w:r>
        <w:rPr>
          <w:rFonts w:ascii="Times New Roman" w:hAnsi="Times New Roman"/>
        </w:rPr>
        <w:t>Persistence baseline (F1=0.660) outperforms all climate-only predictors, demonstrating the need for vegetation-memory features.</w:t>
      </w:r>
    </w:p>
    <w:p/>
    <w:p>
      <w:r>
        <w:rPr>
          <w:rFonts w:ascii="Times New Roman" w:hAnsi="Times New Roman"/>
        </w:rPr>
        <w:t>The full pipeline is reproducible through GEE, Python, GitHub and Zenodo.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