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60" w:lineRule="auto"/>
        <w:jc w:val="center"/>
      </w:pPr>
      <w:r>
        <w:rPr>
          <w:rFonts w:ascii="Times New Roman" w:hAnsi="Times New Roman"/>
          <w:b w:val="0"/>
          <w:i w:val="0"/>
          <w:sz w:val="18"/>
        </w:rPr>
        <w:t>Article</w:t>
      </w:r>
    </w:p>
    <w:p>
      <w:pPr>
        <w:spacing w:after="160" w:before="0" w:line="288" w:lineRule="auto"/>
        <w:jc w:val="center"/>
      </w:pPr>
      <w:r>
        <w:rPr>
          <w:rFonts w:ascii="Times New Roman" w:hAnsi="Times New Roman"/>
          <w:b/>
          <w:i w:val="0"/>
          <w:sz w:val="32"/>
        </w:rPr>
        <w:t>Manuscript</w:t>
      </w:r>
    </w:p>
    <w:p>
      <w:pPr>
        <w:spacing w:after="40" w:before="0" w:line="360" w:lineRule="auto"/>
        <w:jc w:val="center"/>
      </w:pPr>
      <w:r>
        <w:rPr>
          <w:rFonts w:ascii="Times New Roman" w:hAnsi="Times New Roman"/>
          <w:b w:val="0"/>
          <w:i w:val="0"/>
          <w:sz w:val="24"/>
        </w:rPr>
        <w:t>Zhuoxian Wu</w:t>
      </w:r>
    </w:p>
    <w:p>
      <w:pPr>
        <w:spacing w:after="240" w:before="0" w:line="360" w:lineRule="auto"/>
        <w:jc w:val="center"/>
      </w:pPr>
      <w:r>
        <w:rPr>
          <w:rFonts w:ascii="Times New Roman" w:hAnsi="Times New Roman"/>
          <w:b w:val="0"/>
          <w:i w:val="0"/>
          <w:sz w:val="20"/>
        </w:rPr>
        <w:t>Guangdong Neusoft Institute of Technology, Guangdong, China; wum2371@gmail.com</w:t>
      </w:r>
    </w:p>
    <w:p>
      <w:pPr>
        <w:spacing w:after="80" w:before="160" w:line="360" w:lineRule="auto"/>
      </w:pPr>
      <w:r>
        <w:rPr>
          <w:rFonts w:ascii="Times New Roman" w:hAnsi="Times New Roman"/>
          <w:b/>
          <w:i w:val="0"/>
          <w:sz w:val="24"/>
        </w:rPr>
        <w:t>1. Introduction</w:t>
      </w:r>
    </w:p>
    <w:p>
      <w:pPr>
        <w:spacing w:after="80" w:before="0" w:line="36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80" w:before="0" w:line="36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80" w:before="0" w:line="36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80" w:before="0" w:line="36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80" w:before="0" w:line="36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80" w:before="0" w:line="36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80" w:before="0" w:line="36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80" w:before="0" w:line="36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80" w:before="0" w:line="36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80" w:before="0" w:line="36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360" w:lineRule="auto"/>
      </w:pPr>
      <w:r>
        <w:rPr>
          <w:rFonts w:ascii="Times New Roman" w:hAnsi="Times New Roman"/>
          <w:b/>
          <w:i w:val="0"/>
          <w:sz w:val="24"/>
        </w:rPr>
        <w:t>2.1 Data Sources and Shared-Grid Preprocessing</w:t>
      </w:r>
    </w:p>
    <w:p>
      <w:pPr>
        <w:spacing w:after="80" w:before="0" w:line="36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80" w:before="0" w:line="36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80" w:before="0" w:line="36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80" w:before="0" w:line="36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80" w:before="0" w:line="36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80" w:before="0" w:line="36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80" w:before="0" w:line="36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80" w:before="0" w:line="360" w:lineRule="auto"/>
      </w:pPr>
      <w:r>
        <w:rPr>
          <w:rFonts w:ascii="Times New Roman" w:hAnsi="Times New Roman"/>
          <w:b w:val="0"/>
          <w:i w:val="0"/>
          <w:sz w:val="24"/>
        </w:rPr>
        <w:t>Twenty-six annual GeoTIFF files were produced for MODIS (2000–2025) and 26 for ERA5 (2000–2025).</w:t>
      </w:r>
    </w:p>
    <w:p>
      <w:pPr>
        <w:spacing w:after="80" w:before="160" w:line="360" w:lineRule="auto"/>
      </w:pPr>
      <w:r>
        <w:rPr>
          <w:rFonts w:ascii="Times New Roman" w:hAnsi="Times New Roman"/>
          <w:b/>
          <w:i w:val="0"/>
          <w:sz w:val="24"/>
        </w:rPr>
        <w:t>2.2 Grid-Alignment Audit</w:t>
      </w:r>
    </w:p>
    <w:p>
      <w:pPr>
        <w:spacing w:after="80" w:before="0" w:line="36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80" w:before="0" w:line="36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360" w:lineRule="auto"/>
      </w:pPr>
      <w:r>
        <w:rPr>
          <w:rFonts w:ascii="Times New Roman" w:hAnsi="Times New Roman"/>
          <w:b/>
          <w:i w:val="0"/>
          <w:sz w:val="24"/>
        </w:rPr>
        <w:t>2.3 Vegetation Anomaly and Event Definition</w:t>
      </w:r>
    </w:p>
    <w:p>
      <w:pPr>
        <w:spacing w:after="80" w:before="0" w:line="36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80" w:before="0" w:line="36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80" w:before="0" w:line="36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80" w:before="0" w:line="36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360" w:lineRule="auto"/>
      </w:pPr>
      <w:r>
        <w:rPr>
          <w:rFonts w:ascii="Times New Roman" w:hAnsi="Times New Roman"/>
          <w:b/>
          <w:i w:val="0"/>
          <w:sz w:val="24"/>
        </w:rPr>
        <w:t>2.4 Climate Precursor Features</w:t>
      </w:r>
    </w:p>
    <w:p>
      <w:pPr>
        <w:spacing w:after="80" w:before="0" w:line="36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80" w:before="0" w:line="36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360" w:lineRule="auto"/>
      </w:pPr>
      <w:r>
        <w:rPr>
          <w:rFonts w:ascii="Times New Roman" w:hAnsi="Times New Roman"/>
          <w:b/>
          <w:i w:val="0"/>
          <w:sz w:val="24"/>
        </w:rPr>
        <w:t>2.5 Model Evaluation and Baselines</w:t>
      </w:r>
    </w:p>
    <w:p>
      <w:pPr>
        <w:spacing w:after="80" w:before="0" w:line="36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80" w:before="0" w:line="36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80" w:before="0" w:line="36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80" w:before="0" w:line="36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80" w:before="0" w:line="36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360" w:lineRule="auto"/>
      </w:pPr>
      <w:r>
        <w:rPr>
          <w:rFonts w:ascii="Times New Roman" w:hAnsi="Times New Roman"/>
          <w:b/>
          <w:i w:val="0"/>
          <w:sz w:val="24"/>
        </w:rPr>
        <w:t>2.6 Machine-Learning Models</w:t>
      </w:r>
    </w:p>
    <w:p>
      <w:pPr>
        <w:spacing w:after="80" w:before="0" w:line="36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80" w:before="0" w:line="36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80" w:before="0" w:line="36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360" w:lineRule="auto"/>
      </w:pPr>
      <w:r>
        <w:rPr>
          <w:rFonts w:ascii="Times New Roman" w:hAnsi="Times New Roman"/>
          <w:b/>
          <w:i w:val="0"/>
          <w:sz w:val="24"/>
        </w:rPr>
        <w:t>2.7 Temporal and Spatial Validation</w:t>
      </w:r>
    </w:p>
    <w:p>
      <w:pPr>
        <w:spacing w:after="80" w:before="0" w:line="36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80" w:before="0" w:line="360" w:lineRule="auto"/>
      </w:pPr>
      <w:r>
        <w:rPr>
          <w:rFonts w:ascii="Times New Roman" w:hAnsi="Times New Roman"/>
          <w:b w:val="0"/>
          <w:i w:val="0"/>
          <w:sz w:val="24"/>
        </w:rPr>
        <w:t>For each held-out region, models were trained on the remaining 19 regions and evaluated on the held-out region.</w:t>
      </w:r>
    </w:p>
    <w:p>
      <w:pPr>
        <w:spacing w:after="80" w:before="160" w:line="360" w:lineRule="auto"/>
      </w:pPr>
      <w:r>
        <w:rPr>
          <w:rFonts w:ascii="Times New Roman" w:hAnsi="Times New Roman"/>
          <w:b/>
          <w:i w:val="0"/>
          <w:sz w:val="24"/>
        </w:rPr>
        <w:t>2.8 Robustness Checks</w:t>
      </w:r>
    </w:p>
    <w:p>
      <w:pPr>
        <w:spacing w:after="80" w:before="0" w:line="36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360" w:lineRule="auto"/>
      </w:pPr>
      <w:r>
        <w:rPr>
          <w:rFonts w:ascii="Times New Roman" w:hAnsi="Times New Roman"/>
          <w:b/>
          <w:i w:val="0"/>
          <w:sz w:val="24"/>
        </w:rPr>
        <w:t>2.9 Use of AI-Assisted Tools</w:t>
      </w:r>
    </w:p>
    <w:p>
      <w:pPr>
        <w:spacing w:after="80" w:before="0" w:line="36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360" w:lineRule="auto"/>
      </w:pPr>
      <w:r>
        <w:rPr>
          <w:rFonts w:ascii="Times New Roman" w:hAnsi="Times New Roman"/>
          <w:b/>
          <w:i w:val="0"/>
          <w:sz w:val="24"/>
        </w:rPr>
        <w:t>3.1 Vegetation-Stress Event Catalogue</w:t>
      </w:r>
    </w:p>
    <w:p>
      <w:pPr>
        <w:spacing w:after="80" w:before="0" w:line="36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80" w:before="0" w:line="36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80" w:before="0" w:line="36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360" w:lineRule="auto"/>
      </w:pPr>
      <w:r>
        <w:rPr>
          <w:rFonts w:ascii="Times New Roman" w:hAnsi="Times New Roman"/>
          <w:b/>
          <w:i w:val="0"/>
          <w:sz w:val="24"/>
        </w:rPr>
        <w:t>3.2 Climate Precursor Features</w:t>
      </w:r>
    </w:p>
    <w:p>
      <w:pPr>
        <w:spacing w:after="80" w:before="0" w:line="36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80" w:before="0" w:line="360" w:lineRule="auto"/>
      </w:pPr>
      <w:r>
        <w:rPr>
          <w:rFonts w:ascii="Times New Roman" w:hAnsi="Times New Roman"/>
          <w:b w:val="0"/>
          <w:i w:val="0"/>
          <w:sz w:val="24"/>
        </w:rP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spacing w:after="80" w:before="160" w:line="360" w:lineRule="auto"/>
      </w:pPr>
      <w:r>
        <w:rPr>
          <w:rFonts w:ascii="Times New Roman" w:hAnsi="Times New Roman"/>
          <w:b/>
          <w:i w:val="0"/>
          <w:sz w:val="24"/>
        </w:rPr>
        <w:t>3.3 Discovery of Precursor Signals</w:t>
      </w:r>
    </w:p>
    <w:p>
      <w:pPr>
        <w:spacing w:after="80" w:before="0" w:line="36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80" w:before="0" w:line="36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80" w:before="0" w:line="36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360" w:lineRule="auto"/>
      </w:pPr>
      <w:r>
        <w:rPr>
          <w:rFonts w:ascii="Times New Roman" w:hAnsi="Times New Roman"/>
          <w:b/>
          <w:i w:val="0"/>
          <w:sz w:val="24"/>
        </w:rPr>
        <w:t>3.4 Predictive Validation against Baselines</w:t>
      </w:r>
    </w:p>
    <w:p>
      <w:pPr>
        <w:spacing w:after="80" w:before="0" w:line="36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80" w:before="0" w:line="36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80" w:before="0" w:line="36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80" w:before="0" w:line="36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80" w:before="0" w:line="36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80" w:before="0" w:line="36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360" w:lineRule="auto"/>
      </w:pPr>
      <w:r>
        <w:rPr>
          <w:rFonts w:ascii="Times New Roman" w:hAnsi="Times New Roman"/>
          <w:b/>
          <w:i w:val="0"/>
          <w:sz w:val="24"/>
        </w:rPr>
        <w:t>3.5 Spatial Transfer and Robustness</w:t>
      </w:r>
    </w:p>
    <w:p>
      <w:pPr>
        <w:spacing w:after="80" w:before="0" w:line="36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80" w:before="0" w:line="36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80" w:before="0" w:line="36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360" w:lineRule="auto"/>
      </w:pPr>
      <w:r>
        <w:rPr>
          <w:rFonts w:ascii="Times New Roman" w:hAnsi="Times New Roman"/>
          <w:b/>
          <w:i w:val="0"/>
          <w:sz w:val="24"/>
        </w:rPr>
        <w:t>3.6 Machine-Learning Model Comparison</w:t>
      </w:r>
    </w:p>
    <w:p>
      <w:pPr>
        <w:spacing w:after="80" w:before="0" w:line="36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80" w:before="0" w:line="360" w:lineRule="auto"/>
      </w:pPr>
      <w:r>
        <w:rPr>
          <w:rFonts w:ascii="Times New Roman" w:hAnsi="Times New Roman"/>
          <w:b w:val="0"/>
          <w:i w:val="0"/>
          <w:sz w:val="24"/>
        </w:rPr>
        <w:t>Models were evaluated on the 2,005,080-row temporal holdout set (2019–2025). The persistence baseline and the best single-variable threshold (VPD at 16-day lag) are included for comparison (Table 1).</w:t>
      </w:r>
    </w:p>
    <w:p>
      <w:pPr>
        <w:spacing w:after="80" w:before="120" w:line="240" w:lineRule="auto"/>
      </w:pPr>
      <w:r>
        <w:rPr>
          <w:rFonts w:ascii="Times New Roman" w:hAnsi="Times New Roman"/>
          <w:b/>
          <w:i/>
          <w:sz w:val="18"/>
        </w:rPr>
        <w:t>**Table 1.** Performance of ML models versus baseline predictors on the temporal holdout set.</w:t>
      </w:r>
    </w:p>
    <w:tbl>
      <w:tblPr>
        <w:tblStyle w:val="TableGrid"/>
        <w:tblW w:type="auto" w:w="0"/>
        <w:tblLayout w:type="autofit"/>
        <w:tblLook w:firstColumn="1" w:firstRow="1" w:lastColumn="0" w:lastRow="0" w:noHBand="0" w:noVBand="1" w:val="04A0"/>
      </w:tblPr>
      <w:tblGrid>
        <w:gridCol w:w="2262"/>
        <w:gridCol w:w="2262"/>
        <w:gridCol w:w="2262"/>
        <w:gridCol w:w="2262"/>
      </w:tblGrid>
      <w:tr>
        <w:tc>
          <w:tcPr>
            <w:tcW w:type="dxa" w:w="2262"/>
          </w:tcPr>
          <w:p>
            <w:pPr>
              <w:spacing w:after="40" w:before="40"/>
              <w:jc w:val="left"/>
            </w:pPr>
            <w:r>
              <w:rPr>
                <w:rFonts w:ascii="Times New Roman" w:hAnsi="Times New Roman"/>
                <w:b/>
                <w:sz w:val="18"/>
              </w:rPr>
              <w:t>Model</w:t>
            </w:r>
          </w:p>
        </w:tc>
        <w:tc>
          <w:tcPr>
            <w:tcW w:type="dxa" w:w="2262"/>
          </w:tcPr>
          <w:p>
            <w:pPr>
              <w:spacing w:after="40" w:before="40"/>
              <w:jc w:val="center"/>
            </w:pPr>
            <w:r>
              <w:rPr>
                <w:rFonts w:ascii="Times New Roman" w:hAnsi="Times New Roman"/>
                <w:b/>
                <w:sz w:val="18"/>
              </w:rPr>
              <w:t>Precision</w:t>
            </w:r>
          </w:p>
        </w:tc>
        <w:tc>
          <w:tcPr>
            <w:tcW w:type="dxa" w:w="2262"/>
          </w:tcPr>
          <w:p>
            <w:pPr>
              <w:spacing w:after="40" w:before="40"/>
              <w:jc w:val="center"/>
            </w:pPr>
            <w:r>
              <w:rPr>
                <w:rFonts w:ascii="Times New Roman" w:hAnsi="Times New Roman"/>
                <w:b/>
                <w:sz w:val="18"/>
              </w:rPr>
              <w:t>Recall</w:t>
            </w:r>
          </w:p>
        </w:tc>
        <w:tc>
          <w:tcPr>
            <w:tcW w:type="dxa" w:w="2262"/>
          </w:tcPr>
          <w:p>
            <w:pPr>
              <w:spacing w:after="40" w:before="40"/>
              <w:jc w:val="center"/>
            </w:pPr>
            <w:r>
              <w:rPr>
                <w:rFonts w:ascii="Times New Roman" w:hAnsi="Times New Roman"/>
                <w:b/>
                <w:sz w:val="18"/>
              </w:rPr>
              <w:t>False Alarm Ratio</w:t>
            </w:r>
          </w:p>
        </w:tc>
      </w:tr>
      <w:tr>
        <w:tc>
          <w:tcPr>
            <w:tcW w:type="dxa" w:w="2262"/>
          </w:tcPr>
          <w:p>
            <w:pPr>
              <w:spacing w:after="40" w:before="40"/>
              <w:jc w:val="left"/>
            </w:pPr>
            <w:r>
              <w:rPr>
                <w:rFonts w:ascii="Times New Roman" w:hAnsi="Times New Roman"/>
                <w:sz w:val="18"/>
              </w:rPr>
              <w:t>VPD 16d (single-variable threshold)</w:t>
            </w:r>
          </w:p>
        </w:tc>
        <w:tc>
          <w:tcPr>
            <w:tcW w:type="dxa" w:w="2262"/>
          </w:tcPr>
          <w:p>
            <w:pPr>
              <w:spacing w:after="40" w:before="40"/>
              <w:jc w:val="center"/>
            </w:pPr>
            <w:r>
              <w:rPr>
                <w:rFonts w:ascii="Times New Roman" w:hAnsi="Times New Roman"/>
                <w:sz w:val="18"/>
              </w:rPr>
              <w:t>0.055</w:t>
            </w:r>
          </w:p>
        </w:tc>
        <w:tc>
          <w:tcPr>
            <w:tcW w:type="dxa" w:w="2262"/>
          </w:tcPr>
          <w:p>
            <w:pPr>
              <w:spacing w:after="40" w:before="40"/>
              <w:jc w:val="center"/>
            </w:pPr>
            <w:r>
              <w:rPr>
                <w:rFonts w:ascii="Times New Roman" w:hAnsi="Times New Roman"/>
                <w:sz w:val="18"/>
              </w:rPr>
              <w:t>0.609</w:t>
            </w:r>
          </w:p>
        </w:tc>
        <w:tc>
          <w:tcPr>
            <w:tcW w:type="dxa" w:w="2262"/>
          </w:tcPr>
          <w:p>
            <w:pPr>
              <w:spacing w:after="40" w:before="40"/>
              <w:jc w:val="center"/>
            </w:pPr>
            <w:r>
              <w:rPr>
                <w:rFonts w:ascii="Times New Roman" w:hAnsi="Times New Roman"/>
                <w:sz w:val="18"/>
              </w:rPr>
              <w:t>0.945</w:t>
            </w:r>
          </w:p>
        </w:tc>
      </w:tr>
      <w:tr>
        <w:tc>
          <w:tcPr>
            <w:tcW w:type="dxa" w:w="2262"/>
          </w:tcPr>
          <w:p>
            <w:pPr>
              <w:spacing w:after="40" w:before="40"/>
              <w:jc w:val="left"/>
            </w:pPr>
            <w:r>
              <w:rPr>
                <w:rFonts w:ascii="Times New Roman" w:hAnsi="Times New Roman"/>
                <w:sz w:val="18"/>
              </w:rPr>
              <w:t>Persistence (previous event)</w:t>
            </w:r>
          </w:p>
        </w:tc>
        <w:tc>
          <w:tcPr>
            <w:tcW w:type="dxa" w:w="2262"/>
          </w:tcPr>
          <w:p>
            <w:pPr>
              <w:spacing w:after="40" w:before="40"/>
              <w:jc w:val="center"/>
            </w:pPr>
            <w:r>
              <w:rPr>
                <w:rFonts w:ascii="Times New Roman" w:hAnsi="Times New Roman"/>
                <w:sz w:val="18"/>
              </w:rPr>
              <w:t>0.659</w:t>
            </w:r>
          </w:p>
        </w:tc>
        <w:tc>
          <w:tcPr>
            <w:tcW w:type="dxa" w:w="2262"/>
          </w:tcPr>
          <w:p>
            <w:pPr>
              <w:spacing w:after="40" w:before="40"/>
              <w:jc w:val="center"/>
            </w:pPr>
            <w:r>
              <w:rPr>
                <w:rFonts w:ascii="Times New Roman" w:hAnsi="Times New Roman"/>
                <w:sz w:val="18"/>
              </w:rPr>
              <w:t>0.661</w:t>
            </w:r>
          </w:p>
        </w:tc>
        <w:tc>
          <w:tcPr>
            <w:tcW w:type="dxa" w:w="2262"/>
          </w:tcPr>
          <w:p>
            <w:pPr>
              <w:spacing w:after="40" w:before="40"/>
              <w:jc w:val="center"/>
            </w:pPr>
            <w:r>
              <w:rPr>
                <w:rFonts w:ascii="Times New Roman" w:hAnsi="Times New Roman"/>
                <w:sz w:val="18"/>
              </w:rPr>
              <w:t>0.341</w:t>
            </w:r>
          </w:p>
        </w:tc>
      </w:tr>
      <w:tr>
        <w:tc>
          <w:tcPr>
            <w:tcW w:type="dxa" w:w="2262"/>
          </w:tcPr>
          <w:p>
            <w:pPr>
              <w:spacing w:after="40" w:before="40"/>
              <w:jc w:val="left"/>
            </w:pPr>
            <w:r>
              <w:rPr>
                <w:rFonts w:ascii="Times New Roman" w:hAnsi="Times New Roman"/>
                <w:sz w:val="18"/>
              </w:rPr>
              <w:t>Random Forest (100 trees)</w:t>
            </w:r>
          </w:p>
        </w:tc>
        <w:tc>
          <w:tcPr>
            <w:tcW w:type="dxa" w:w="2262"/>
          </w:tcPr>
          <w:p>
            <w:pPr>
              <w:spacing w:after="40" w:before="40"/>
              <w:jc w:val="center"/>
            </w:pPr>
            <w:r>
              <w:rPr>
                <w:rFonts w:ascii="Times New Roman" w:hAnsi="Times New Roman"/>
                <w:sz w:val="18"/>
              </w:rPr>
              <w:t>0.185</w:t>
            </w:r>
          </w:p>
        </w:tc>
        <w:tc>
          <w:tcPr>
            <w:tcW w:type="dxa" w:w="2262"/>
          </w:tcPr>
          <w:p>
            <w:pPr>
              <w:spacing w:after="40" w:before="40"/>
              <w:jc w:val="center"/>
            </w:pPr>
            <w:r>
              <w:rPr>
                <w:rFonts w:ascii="Times New Roman" w:hAnsi="Times New Roman"/>
                <w:sz w:val="18"/>
              </w:rPr>
              <w:t>0.797</w:t>
            </w:r>
          </w:p>
        </w:tc>
        <w:tc>
          <w:tcPr>
            <w:tcW w:type="dxa" w:w="2262"/>
          </w:tcPr>
          <w:p>
            <w:pPr>
              <w:spacing w:after="40" w:before="40"/>
              <w:jc w:val="center"/>
            </w:pPr>
            <w:r>
              <w:rPr>
                <w:rFonts w:ascii="Times New Roman" w:hAnsi="Times New Roman"/>
                <w:sz w:val="18"/>
              </w:rPr>
              <w:t>0.815</w:t>
            </w:r>
          </w:p>
        </w:tc>
      </w:tr>
      <w:tr>
        <w:tc>
          <w:tcPr>
            <w:tcW w:type="dxa" w:w="2262"/>
          </w:tcPr>
          <w:p>
            <w:pPr>
              <w:spacing w:after="40" w:before="40"/>
              <w:jc w:val="left"/>
            </w:pPr>
            <w:r>
              <w:rPr>
                <w:rFonts w:ascii="Times New Roman" w:hAnsi="Times New Roman"/>
                <w:sz w:val="18"/>
              </w:rPr>
              <w:t>XGBoost (100 trees)</w:t>
            </w:r>
          </w:p>
        </w:tc>
        <w:tc>
          <w:tcPr>
            <w:tcW w:type="dxa" w:w="2262"/>
          </w:tcPr>
          <w:p>
            <w:pPr>
              <w:spacing w:after="40" w:before="40"/>
              <w:jc w:val="center"/>
            </w:pPr>
            <w:r>
              <w:rPr>
                <w:rFonts w:ascii="Times New Roman" w:hAnsi="Times New Roman"/>
                <w:sz w:val="18"/>
              </w:rPr>
              <w:t>0.191</w:t>
            </w:r>
          </w:p>
        </w:tc>
        <w:tc>
          <w:tcPr>
            <w:tcW w:type="dxa" w:w="2262"/>
          </w:tcPr>
          <w:p>
            <w:pPr>
              <w:spacing w:after="40" w:before="40"/>
              <w:jc w:val="center"/>
            </w:pPr>
            <w:r>
              <w:rPr>
                <w:rFonts w:ascii="Times New Roman" w:hAnsi="Times New Roman"/>
                <w:sz w:val="18"/>
              </w:rPr>
              <w:t>0.791</w:t>
            </w:r>
          </w:p>
        </w:tc>
        <w:tc>
          <w:tcPr>
            <w:tcW w:type="dxa" w:w="2262"/>
          </w:tcPr>
          <w:p>
            <w:pPr>
              <w:spacing w:after="40" w:before="40"/>
              <w:jc w:val="center"/>
            </w:pPr>
            <w:r>
              <w:rPr>
                <w:rFonts w:ascii="Times New Roman" w:hAnsi="Times New Roman"/>
                <w:sz w:val="18"/>
              </w:rPr>
              <w:t>0.809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spacing w:after="80" w:before="0" w:line="36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80" w:before="0" w:line="36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80" w:before="0" w:line="36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360" w:lineRule="auto"/>
      </w:pPr>
      <w:r>
        <w:rPr>
          <w:rFonts w:ascii="Times New Roman" w:hAnsi="Times New Roman"/>
          <w:b/>
          <w:i w:val="0"/>
          <w:sz w:val="24"/>
        </w:rPr>
        <w:t>3.7 Latitude-Zone Stratification</w:t>
      </w:r>
    </w:p>
    <w:p>
      <w:pPr>
        <w:spacing w:after="80" w:before="0" w:line="36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after="80" w:before="120" w:line="240" w:lineRule="auto"/>
      </w:pPr>
      <w:r>
        <w:rPr>
          <w:rFonts w:ascii="Times New Roman" w:hAnsi="Times New Roman"/>
          <w:b/>
          <w:i/>
          <w:sz w:val="18"/>
        </w:rPr>
        <w:t>**Table 2.** XGBoost performance by latitude zone on the temporal holdout set.</w:t>
      </w:r>
    </w:p>
    <w:tbl>
      <w:tblPr>
        <w:tblStyle w:val="TableGrid"/>
        <w:tblW w:type="auto" w:w="0"/>
        <w:tblLayout w:type="autofit"/>
        <w:tblLook w:firstColumn="1" w:firstRow="1" w:lastColumn="0" w:lastRow="0" w:noHBand="0" w:noVBand="1" w:val="04A0"/>
      </w:tblPr>
      <w:tblGrid>
        <w:gridCol w:w="1508"/>
        <w:gridCol w:w="1508"/>
        <w:gridCol w:w="1508"/>
        <w:gridCol w:w="1508"/>
        <w:gridCol w:w="1508"/>
        <w:gridCol w:w="1508"/>
      </w:tblGrid>
      <w:tr>
        <w:tc>
          <w:tcPr>
            <w:tcW w:type="dxa" w:w="1508"/>
          </w:tcPr>
          <w:p>
            <w:pPr>
              <w:spacing w:after="40" w:before="40"/>
              <w:jc w:val="left"/>
            </w:pPr>
            <w:r>
              <w:rPr>
                <w:rFonts w:ascii="Times New Roman" w:hAnsi="Times New Roman"/>
                <w:b/>
                <w:sz w:val="18"/>
              </w:rPr>
              <w:t>Zone</w:t>
            </w:r>
          </w:p>
        </w:tc>
        <w:tc>
          <w:tcPr>
            <w:tcW w:type="dxa" w:w="1508"/>
          </w:tcPr>
          <w:p>
            <w:pPr>
              <w:spacing w:after="40" w:before="40"/>
              <w:jc w:val="center"/>
            </w:pPr>
            <w:r>
              <w:rPr>
                <w:rFonts w:ascii="Times New Roman" w:hAnsi="Times New Roman"/>
                <w:b/>
                <w:sz w:val="18"/>
              </w:rPr>
              <w:t>Samples</w:t>
            </w:r>
          </w:p>
        </w:tc>
        <w:tc>
          <w:tcPr>
            <w:tcW w:type="dxa" w:w="1508"/>
          </w:tcPr>
          <w:p>
            <w:pPr>
              <w:spacing w:after="40" w:before="40"/>
              <w:jc w:val="center"/>
            </w:pPr>
            <w:r>
              <w:rPr>
                <w:rFonts w:ascii="Times New Roman" w:hAnsi="Times New Roman"/>
                <w:b/>
                <w:sz w:val="18"/>
              </w:rPr>
              <w:t>Stress Rate</w:t>
            </w:r>
          </w:p>
        </w:tc>
        <w:tc>
          <w:tcPr>
            <w:tcW w:type="dxa" w:w="1508"/>
          </w:tcPr>
          <w:p>
            <w:pPr>
              <w:spacing w:after="40" w:before="40"/>
              <w:jc w:val="center"/>
            </w:pPr>
            <w:r>
              <w:rPr>
                <w:rFonts w:ascii="Times New Roman" w:hAnsi="Times New Roman"/>
                <w:b/>
                <w:sz w:val="18"/>
              </w:rPr>
              <w:t>Precision</w:t>
            </w:r>
          </w:p>
        </w:tc>
        <w:tc>
          <w:tcPr>
            <w:tcW w:type="dxa" w:w="1508"/>
          </w:tcPr>
          <w:p>
            <w:pPr>
              <w:spacing w:after="40" w:before="40"/>
              <w:jc w:val="center"/>
            </w:pPr>
            <w:r>
              <w:rPr>
                <w:rFonts w:ascii="Times New Roman" w:hAnsi="Times New Roman"/>
                <w:b/>
                <w:sz w:val="18"/>
              </w:rPr>
              <w:t>Recall</w:t>
            </w:r>
          </w:p>
        </w:tc>
        <w:tc>
          <w:tcPr>
            <w:tcW w:type="dxa" w:w="1508"/>
          </w:tcPr>
          <w:p>
            <w:pPr>
              <w:spacing w:after="40" w:before="40"/>
              <w:jc w:val="center"/>
            </w:pPr>
            <w:r>
              <w:rPr>
                <w:rFonts w:ascii="Times New Roman" w:hAnsi="Times New Roman"/>
                <w:b/>
                <w:sz w:val="18"/>
              </w:rPr>
              <w:t>FAR</w:t>
            </w:r>
          </w:p>
        </w:tc>
      </w:tr>
      <w:tr>
        <w:tc>
          <w:tcPr>
            <w:tcW w:type="dxa" w:w="1508"/>
          </w:tcPr>
          <w:p>
            <w:pPr>
              <w:spacing w:after="40" w:before="40"/>
              <w:jc w:val="left"/>
            </w:pPr>
            <w:r>
              <w:rPr>
                <w:rFonts w:ascii="Times New Roman" w:hAnsi="Times New Roman"/>
                <w:sz w:val="18"/>
              </w:rPr>
              <w:t>North (~10–20°S, tropical)</w:t>
            </w:r>
          </w:p>
        </w:tc>
        <w:tc>
          <w:tcPr>
            <w:tcW w:type="dxa" w:w="1508"/>
          </w:tcPr>
          <w:p>
            <w:pPr>
              <w:spacing w:after="40" w:before="40"/>
              <w:jc w:val="center"/>
            </w:pPr>
            <w:r>
              <w:rPr>
                <w:rFonts w:ascii="Times New Roman" w:hAnsi="Times New Roman"/>
                <w:sz w:val="18"/>
              </w:rPr>
              <w:t>445,842</w:t>
            </w:r>
          </w:p>
        </w:tc>
        <w:tc>
          <w:tcPr>
            <w:tcW w:type="dxa" w:w="1508"/>
          </w:tcPr>
          <w:p>
            <w:pPr>
              <w:spacing w:after="40" w:before="40"/>
              <w:jc w:val="center"/>
            </w:pPr>
            <w:r>
              <w:rPr>
                <w:rFonts w:ascii="Times New Roman" w:hAnsi="Times New Roman"/>
                <w:sz w:val="18"/>
              </w:rPr>
              <w:t>6.3%</w:t>
            </w:r>
          </w:p>
        </w:tc>
        <w:tc>
          <w:tcPr>
            <w:tcW w:type="dxa" w:w="1508"/>
          </w:tcPr>
          <w:p>
            <w:pPr>
              <w:spacing w:after="40" w:before="40"/>
              <w:jc w:val="center"/>
            </w:pPr>
            <w:r>
              <w:rPr>
                <w:rFonts w:ascii="Times New Roman" w:hAnsi="Times New Roman"/>
                <w:sz w:val="18"/>
              </w:rPr>
              <w:t>0.180</w:t>
            </w:r>
          </w:p>
        </w:tc>
        <w:tc>
          <w:tcPr>
            <w:tcW w:type="dxa" w:w="1508"/>
          </w:tcPr>
          <w:p>
            <w:pPr>
              <w:spacing w:after="40" w:before="40"/>
              <w:jc w:val="center"/>
            </w:pPr>
            <w:r>
              <w:rPr>
                <w:rFonts w:ascii="Times New Roman" w:hAnsi="Times New Roman"/>
                <w:sz w:val="18"/>
              </w:rPr>
              <w:t>0.864</w:t>
            </w:r>
          </w:p>
        </w:tc>
        <w:tc>
          <w:tcPr>
            <w:tcW w:type="dxa" w:w="1508"/>
          </w:tcPr>
          <w:p>
            <w:pPr>
              <w:spacing w:after="40" w:before="40"/>
              <w:jc w:val="center"/>
            </w:pPr>
            <w:r>
              <w:rPr>
                <w:rFonts w:ascii="Times New Roman" w:hAnsi="Times New Roman"/>
                <w:sz w:val="18"/>
              </w:rPr>
              <w:t>0.820</w:t>
            </w:r>
          </w:p>
        </w:tc>
      </w:tr>
      <w:tr>
        <w:tc>
          <w:tcPr>
            <w:tcW w:type="dxa" w:w="1508"/>
          </w:tcPr>
          <w:p>
            <w:pPr>
              <w:spacing w:after="40" w:before="40"/>
              <w:jc w:val="left"/>
            </w:pPr>
            <w:r>
              <w:rPr>
                <w:rFonts w:ascii="Times New Roman" w:hAnsi="Times New Roman"/>
                <w:sz w:val="18"/>
              </w:rPr>
              <w:t>Central (~20–30°S, subtropical)</w:t>
            </w:r>
          </w:p>
        </w:tc>
        <w:tc>
          <w:tcPr>
            <w:tcW w:type="dxa" w:w="1508"/>
          </w:tcPr>
          <w:p>
            <w:pPr>
              <w:spacing w:after="40" w:before="40"/>
              <w:jc w:val="center"/>
            </w:pPr>
            <w:r>
              <w:rPr>
                <w:rFonts w:ascii="Times New Roman" w:hAnsi="Times New Roman"/>
                <w:sz w:val="18"/>
              </w:rPr>
              <w:t>1,064,850</w:t>
            </w:r>
          </w:p>
        </w:tc>
        <w:tc>
          <w:tcPr>
            <w:tcW w:type="dxa" w:w="1508"/>
          </w:tcPr>
          <w:p>
            <w:pPr>
              <w:spacing w:after="40" w:before="40"/>
              <w:jc w:val="center"/>
            </w:pPr>
            <w:r>
              <w:rPr>
                <w:rFonts w:ascii="Times New Roman" w:hAnsi="Times New Roman"/>
                <w:sz w:val="18"/>
              </w:rPr>
              <w:t>8.6%</w:t>
            </w:r>
          </w:p>
        </w:tc>
        <w:tc>
          <w:tcPr>
            <w:tcW w:type="dxa" w:w="1508"/>
          </w:tcPr>
          <w:p>
            <w:pPr>
              <w:spacing w:after="40" w:before="40"/>
              <w:jc w:val="center"/>
            </w:pPr>
            <w:r>
              <w:rPr>
                <w:rFonts w:ascii="Times New Roman" w:hAnsi="Times New Roman"/>
                <w:sz w:val="18"/>
              </w:rPr>
              <w:t>0.199</w:t>
            </w:r>
          </w:p>
        </w:tc>
        <w:tc>
          <w:tcPr>
            <w:tcW w:type="dxa" w:w="1508"/>
          </w:tcPr>
          <w:p>
            <w:pPr>
              <w:spacing w:after="40" w:before="40"/>
              <w:jc w:val="center"/>
            </w:pPr>
            <w:r>
              <w:rPr>
                <w:rFonts w:ascii="Times New Roman" w:hAnsi="Times New Roman"/>
                <w:sz w:val="18"/>
              </w:rPr>
              <w:t>0.797</w:t>
            </w:r>
          </w:p>
        </w:tc>
        <w:tc>
          <w:tcPr>
            <w:tcW w:type="dxa" w:w="1508"/>
          </w:tcPr>
          <w:p>
            <w:pPr>
              <w:spacing w:after="40" w:before="40"/>
              <w:jc w:val="center"/>
            </w:pPr>
            <w:r>
              <w:rPr>
                <w:rFonts w:ascii="Times New Roman" w:hAnsi="Times New Roman"/>
                <w:sz w:val="18"/>
              </w:rPr>
              <w:t>0.801</w:t>
            </w:r>
          </w:p>
        </w:tc>
      </w:tr>
      <w:tr>
        <w:tc>
          <w:tcPr>
            <w:tcW w:type="dxa" w:w="1508"/>
          </w:tcPr>
          <w:p>
            <w:pPr>
              <w:spacing w:after="40" w:before="40"/>
              <w:jc w:val="left"/>
            </w:pPr>
            <w:r>
              <w:rPr>
                <w:rFonts w:ascii="Times New Roman" w:hAnsi="Times New Roman"/>
                <w:sz w:val="18"/>
              </w:rPr>
              <w:t>South (~30–40°S, temperate)</w:t>
            </w:r>
          </w:p>
        </w:tc>
        <w:tc>
          <w:tcPr>
            <w:tcW w:type="dxa" w:w="1508"/>
          </w:tcPr>
          <w:p>
            <w:pPr>
              <w:spacing w:after="40" w:before="40"/>
              <w:jc w:val="center"/>
            </w:pPr>
            <w:r>
              <w:rPr>
                <w:rFonts w:ascii="Times New Roman" w:hAnsi="Times New Roman"/>
                <w:sz w:val="18"/>
              </w:rPr>
              <w:t>494,388</w:t>
            </w:r>
          </w:p>
        </w:tc>
        <w:tc>
          <w:tcPr>
            <w:tcW w:type="dxa" w:w="1508"/>
          </w:tcPr>
          <w:p>
            <w:pPr>
              <w:spacing w:after="40" w:before="40"/>
              <w:jc w:val="center"/>
            </w:pPr>
            <w:r>
              <w:rPr>
                <w:rFonts w:ascii="Times New Roman" w:hAnsi="Times New Roman"/>
                <w:sz w:val="18"/>
              </w:rPr>
              <w:t>6.2%</w:t>
            </w:r>
          </w:p>
        </w:tc>
        <w:tc>
          <w:tcPr>
            <w:tcW w:type="dxa" w:w="1508"/>
          </w:tcPr>
          <w:p>
            <w:pPr>
              <w:spacing w:after="40" w:before="40"/>
              <w:jc w:val="center"/>
            </w:pPr>
            <w:r>
              <w:rPr>
                <w:rFonts w:ascii="Times New Roman" w:hAnsi="Times New Roman"/>
                <w:sz w:val="18"/>
              </w:rPr>
              <w:t>0.181</w:t>
            </w:r>
          </w:p>
        </w:tc>
        <w:tc>
          <w:tcPr>
            <w:tcW w:type="dxa" w:w="1508"/>
          </w:tcPr>
          <w:p>
            <w:pPr>
              <w:spacing w:after="40" w:before="40"/>
              <w:jc w:val="center"/>
            </w:pPr>
            <w:r>
              <w:rPr>
                <w:rFonts w:ascii="Times New Roman" w:hAnsi="Times New Roman"/>
                <w:sz w:val="18"/>
              </w:rPr>
              <w:t>0.682</w:t>
            </w:r>
          </w:p>
        </w:tc>
        <w:tc>
          <w:tcPr>
            <w:tcW w:type="dxa" w:w="1508"/>
          </w:tcPr>
          <w:p>
            <w:pPr>
              <w:spacing w:after="40" w:before="40"/>
              <w:jc w:val="center"/>
            </w:pPr>
            <w:r>
              <w:rPr>
                <w:rFonts w:ascii="Times New Roman" w:hAnsi="Times New Roman"/>
                <w:sz w:val="18"/>
              </w:rPr>
              <w:t>0.819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The central subtropical zone—which encompasses much of Australia''s arid and semi-arid interior—exhibited the highest precision (0.199) and lowest false-alarm ratio (0.801), consistent with stronger climate–vegetation coupling in water-limited ecosystems.</w:t>
      </w:r>
    </w:p>
    <w:p>
      <w:pPr>
        <w:spacing w:after="80" w:before="0" w:line="36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80" w:before="0" w:line="36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360" w:lineRule="auto"/>
      </w:pPr>
      <w:r>
        <w:rPr>
          <w:rFonts w:ascii="Times New Roman" w:hAnsi="Times New Roman"/>
          <w:b/>
          <w:i w:val="0"/>
          <w:sz w:val="24"/>
        </w:rPr>
        <w:t>4. Discussion</w:t>
      </w:r>
    </w:p>
    <w:p>
      <w:pPr>
        <w:spacing w:after="80" w:before="0" w:line="360" w:lineRule="auto"/>
      </w:pPr>
      <w:r>
        <w:rPr>
          <w:rFonts w:ascii="Times New Roman" w:hAnsi="Times New Roman"/>
          <w:b w:val="0"/>
          <w:i w:val="0"/>
          <w:sz w:val="24"/>
        </w:rPr>
        <w:t>Our results establish that interpretable climate precursor signals can be systematically discovered from satellite vegetation records and reanalysis data on a unified spatial grid.</w:t>
      </w:r>
    </w:p>
    <w:p>
      <w:pPr>
        <w:spacing w:after="80" w:before="0" w:line="36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80" w:before="0" w:line="360" w:lineRule="auto"/>
      </w:pPr>
      <w:r>
        <w:rPr>
          <w:rFonts w:ascii="Times New Roman" w:hAnsi="Times New Roman"/>
          <w:b w:val="0"/>
          <w:i w:val="0"/>
          <w:sz w:val="24"/>
        </w:rPr>
        <w:t>Three findings carry particular implications for satellite-based vegetation stress early warning.</w:t>
      </w:r>
    </w:p>
    <w:p>
      <w:pPr>
        <w:spacing w:after="80" w:before="0" w:line="36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80" w:before="0" w:line="36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80" w:before="0" w:line="36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80" w:before="0" w:line="36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80" w:before="0" w:line="36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80" w:before="0" w:line="36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80" w:before="0" w:line="36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80" w:before="0" w:line="36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80" w:before="0" w:line="36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80" w:before="0" w:line="36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80" w:before="0" w:line="36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80" w:before="0" w:line="36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80" w:before="0" w:line="36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80" w:before="0" w:line="36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360" w:lineRule="auto"/>
      </w:pPr>
      <w:r>
        <w:rPr>
          <w:rFonts w:ascii="Times New Roman" w:hAnsi="Times New Roman"/>
          <w:b/>
          <w:i w:val="0"/>
          <w:sz w:val="24"/>
        </w:rPr>
        <w:t>5. Conclusions</w:t>
      </w:r>
    </w:p>
    <w:p>
      <w:pPr>
        <w:spacing w:after="80" w:before="0" w:line="360" w:lineRule="auto"/>
      </w:pPr>
      <w:r>
        <w:rPr>
          <w:rFonts w:ascii="Times New Roman" w:hAnsi="Times New Roman"/>
          <w:b w:val="0"/>
          <w:i w:val="0"/>
          <w:sz w:val="24"/>
        </w:rP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w:t>
      </w:r>
    </w:p>
    <w:p>
      <w:pPr>
        <w:spacing w:after="80" w:before="0" w:line="36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80" w:before="0" w:line="36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80" w:before="0" w:line="36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80" w:before="0" w:line="36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0" w:line="360" w:lineRule="auto"/>
      </w:pPr>
      <w:r>
        <w:rPr>
          <w:rFonts w:ascii="Times New Roman" w:hAnsi="Times New Roman"/>
          <w:b/>
          <w:i w:val="0"/>
          <w:sz w:val="24"/>
        </w:rPr>
        <w:t>Abstract</w:t>
      </w:r>
    </w:p>
    <w:p>
      <w:pPr>
        <w:spacing w:after="160" w:before="0" w:line="312" w:lineRule="auto"/>
      </w:pPr>
      <w:r>
        <w:rPr>
          <w:rFonts w:ascii="Times New Roman" w:hAnsi="Times New Roman"/>
          <w:b w:val="0"/>
          <w:i/>
          <w:sz w:val="24"/>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MODIS; ERA5-Land; vegetation index; climate precursor; vapour pressure deficit; soil moisture; early warning; Australia; spatial grid alignment; false alarm ratio</w:t>
      </w:r>
    </w:p>
    <w:p>
      <w:pPr>
        <w:spacing w:after="80" w:before="120" w:line="360" w:lineRule="auto"/>
      </w:pPr>
      <w:r>
        <w:rPr>
          <w:rFonts w:ascii="Times New Roman" w:hAnsi="Times New Roman"/>
          <w:b/>
          <w:i w:val="0"/>
          <w:sz w:val="22"/>
        </w:rPr>
        <w:t>Author Contributions</w:t>
      </w:r>
    </w:p>
    <w:p>
      <w:pPr>
        <w:spacing w:after="40" w:before="0" w:line="36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360" w:lineRule="auto"/>
      </w:pPr>
      <w:r>
        <w:rPr>
          <w:rFonts w:ascii="Times New Roman" w:hAnsi="Times New Roman"/>
          <w:b/>
          <w:i w:val="0"/>
          <w:sz w:val="22"/>
        </w:rPr>
        <w:t>Funding</w:t>
      </w:r>
    </w:p>
    <w:p>
      <w:pPr>
        <w:spacing w:after="40" w:before="0" w:line="360" w:lineRule="auto"/>
      </w:pPr>
      <w:r>
        <w:rPr>
          <w:rFonts w:ascii="Times New Roman" w:hAnsi="Times New Roman"/>
          <w:b w:val="0"/>
          <w:i w:val="0"/>
          <w:sz w:val="20"/>
        </w:rPr>
        <w:t>This research received no external funding.</w:t>
      </w:r>
    </w:p>
    <w:p>
      <w:pPr>
        <w:spacing w:after="80" w:before="120" w:line="360" w:lineRule="auto"/>
      </w:pPr>
      <w:r>
        <w:rPr>
          <w:rFonts w:ascii="Times New Roman" w:hAnsi="Times New Roman"/>
          <w:b/>
          <w:i w:val="0"/>
          <w:sz w:val="22"/>
        </w:rPr>
        <w:t>Data Availability Statement</w:t>
      </w:r>
    </w:p>
    <w:p>
      <w:pPr>
        <w:spacing w:after="40" w:before="0" w:line="36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360" w:lineRule="auto"/>
      </w:pPr>
      <w:r>
        <w:rPr>
          <w:rFonts w:ascii="Times New Roman" w:hAnsi="Times New Roman"/>
          <w:b/>
          <w:i w:val="0"/>
          <w:sz w:val="22"/>
        </w:rPr>
        <w:t>Conflicts of Interest</w:t>
      </w:r>
    </w:p>
    <w:p>
      <w:pPr>
        <w:spacing w:after="40" w:before="0" w:line="360" w:lineRule="auto"/>
      </w:pPr>
      <w:r>
        <w:rPr>
          <w:rFonts w:ascii="Times New Roman" w:hAnsi="Times New Roman"/>
          <w:b w:val="0"/>
          <w:i w:val="0"/>
          <w:sz w:val="20"/>
        </w:rPr>
        <w:t>The author declares no conflicts of interest.</w:t>
      </w:r>
    </w:p>
    <w:p>
      <w:pPr>
        <w:spacing w:after="80" w:before="120" w:line="360" w:lineRule="auto"/>
      </w:pPr>
      <w:r>
        <w:rPr>
          <w:rFonts w:ascii="Times New Roman" w:hAnsi="Times New Roman"/>
          <w:b/>
          <w:i w:val="0"/>
          <w:sz w:val="22"/>
        </w:rPr>
        <w:t>Supplementary Materials</w:t>
      </w:r>
    </w:p>
    <w:p>
      <w:pPr>
        <w:spacing w:after="40" w:before="0" w:line="36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2"/>
        </w:rPr>
        <w:t>References</w:t>
      </w:r>
    </w:p>
    <w:p>
      <w:pPr>
        <w:spacing w:after="40" w:before="0" w:line="36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36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36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36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36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36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36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36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36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36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36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36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36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36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360" w:lineRule="auto"/>
      </w:pPr>
      <w:r>
        <w:rPr>
          <w:rFonts w:ascii="Times New Roman" w:hAnsi="Times New Roman"/>
          <w:b w:val="0"/>
          <w:i w:val="0"/>
          <w:sz w:val="8"/>
        </w:rPr>
      </w:r>
    </w:p>
    <w:p>
      <w:pPr>
        <w:spacing w:after="120" w:before="0" w:line="360" w:lineRule="auto"/>
        <w:jc w:val="center"/>
      </w:pPr>
      <w:r>
        <w:rPr>
          <w:rFonts w:ascii="Times New Roman" w:hAnsi="Times New Roman"/>
          <w:b w:val="0"/>
          <w:i/>
          <w:sz w:val="16"/>
        </w:rPr>
        <w:t>Prepared for submission to Ecological Indicators (Elsevier). v3-revised, 2026-06-08.</w:t>
      </w:r>
    </w:p>
    <w:sectPr w:rsidR="00FC693F" w:rsidRPr="0006063C" w:rsidSect="00034616">
      <w:pgSz w:w="11906" w:h="16838"/>
      <w:pgMar w:top="1440" w:right="1440"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