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60" w:lineRule="auto"/>
        <w:jc w:val="center"/>
      </w:pPr>
      <w:r>
        <w:rPr>
          <w:rFonts w:ascii="Times New Roman" w:hAnsi="Times New Roman"/>
          <w:b w:val="0"/>
          <w:i w:val="0"/>
          <w:sz w:val="18"/>
        </w:rPr>
        <w:t>Article</w:t>
      </w:r>
    </w:p>
    <w:p>
      <w:pPr>
        <w:spacing w:after="160" w:before="0" w:line="288" w:lineRule="auto"/>
        <w:jc w:val="center"/>
      </w:pPr>
      <w:r>
        <w:rPr>
          <w:rFonts w:ascii="Times New Roman" w:hAnsi="Times New Roman"/>
          <w:b/>
          <w:i w:val="0"/>
          <w:sz w:val="32"/>
        </w:rPr>
        <w:t>Manuscript</w:t>
      </w:r>
    </w:p>
    <w:p>
      <w:pPr>
        <w:spacing w:after="40" w:before="0" w:line="360" w:lineRule="auto"/>
        <w:jc w:val="center"/>
      </w:pPr>
      <w:r>
        <w:rPr>
          <w:rFonts w:ascii="Times New Roman" w:hAnsi="Times New Roman"/>
          <w:b w:val="0"/>
          <w:i w:val="0"/>
          <w:sz w:val="24"/>
        </w:rPr>
        <w:t>Zhuoxian Wu</w:t>
      </w:r>
    </w:p>
    <w:p>
      <w:pPr>
        <w:spacing w:after="240" w:before="0" w:line="360" w:lineRule="auto"/>
        <w:jc w:val="center"/>
      </w:pPr>
      <w:r>
        <w:rPr>
          <w:rFonts w:ascii="Times New Roman" w:hAnsi="Times New Roman"/>
          <w:b w:val="0"/>
          <w:i w:val="0"/>
          <w:sz w:val="20"/>
        </w:rPr>
        <w:t>Guangdong Neusoft Institute of Technology, Guangdong, China; wum2371@gmail.com</w:t>
      </w:r>
    </w:p>
    <w:p>
      <w:pPr>
        <w:spacing w:after="80" w:before="160" w:line="360" w:lineRule="auto"/>
      </w:pPr>
      <w:r>
        <w:rPr>
          <w:rFonts w:ascii="Times New Roman" w:hAnsi="Times New Roman"/>
          <w:b/>
          <w:i w:val="0"/>
          <w:sz w:val="24"/>
        </w:rPr>
        <w:t>1. Introduction</w:t>
      </w:r>
    </w:p>
    <w:p>
      <w:pPr>
        <w:spacing w:after="80" w:before="0" w:line="36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80" w:before="0" w:line="36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80" w:before="0" w:line="36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80" w:before="0" w:line="36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80" w:before="0" w:line="36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80" w:before="0" w:line="36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80" w:before="0" w:line="36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80" w:before="0" w:line="36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80" w:before="0" w:line="36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80" w:before="0" w:line="36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160" w:line="360" w:lineRule="auto"/>
      </w:pPr>
      <w:r>
        <w:rPr>
          <w:rFonts w:ascii="Times New Roman" w:hAnsi="Times New Roman"/>
          <w:b/>
          <w:i w:val="0"/>
          <w:sz w:val="24"/>
        </w:rPr>
        <w:t>2.1 Data Sources and Shared-Grid Preprocessing</w:t>
      </w:r>
    </w:p>
    <w:p>
      <w:pPr>
        <w:spacing w:after="80" w:before="0" w:line="36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80" w:before="0" w:line="36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80" w:before="0" w:line="36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80" w:before="0" w:line="36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80" w:before="0" w:line="36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80" w:before="0" w:line="36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80" w:before="0" w:line="36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80" w:before="0" w:line="360" w:lineRule="auto"/>
      </w:pPr>
      <w:r>
        <w:rPr>
          <w:rFonts w:ascii="Times New Roman" w:hAnsi="Times New Roman"/>
          <w:b w:val="0"/>
          <w:i w:val="0"/>
          <w:sz w:val="24"/>
        </w:rPr>
        <w:t>Twenty-six annual GeoTIFF files were produced for MODIS (2000–2025) and 26 for ERA5 (2000–2025).</w:t>
      </w:r>
    </w:p>
    <w:p>
      <w:pPr>
        <w:spacing w:after="80" w:before="160" w:line="360" w:lineRule="auto"/>
      </w:pPr>
      <w:r>
        <w:rPr>
          <w:rFonts w:ascii="Times New Roman" w:hAnsi="Times New Roman"/>
          <w:b/>
          <w:i w:val="0"/>
          <w:sz w:val="24"/>
        </w:rPr>
        <w:t>2.2 Grid-Alignment Audit</w:t>
      </w:r>
    </w:p>
    <w:p>
      <w:pPr>
        <w:spacing w:after="80" w:before="0" w:line="36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80" w:before="0" w:line="36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160" w:line="360" w:lineRule="auto"/>
      </w:pPr>
      <w:r>
        <w:rPr>
          <w:rFonts w:ascii="Times New Roman" w:hAnsi="Times New Roman"/>
          <w:b/>
          <w:i w:val="0"/>
          <w:sz w:val="24"/>
        </w:rPr>
        <w:t>2.3 Vegetation Anomaly and Event Definition</w:t>
      </w:r>
    </w:p>
    <w:p>
      <w:pPr>
        <w:spacing w:after="80" w:before="0" w:line="36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80" w:before="0" w:line="36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80" w:before="0" w:line="36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80" w:before="0" w:line="36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160" w:line="360" w:lineRule="auto"/>
      </w:pPr>
      <w:r>
        <w:rPr>
          <w:rFonts w:ascii="Times New Roman" w:hAnsi="Times New Roman"/>
          <w:b/>
          <w:i w:val="0"/>
          <w:sz w:val="24"/>
        </w:rPr>
        <w:t>2.4 Climate Precursor Features</w:t>
      </w:r>
    </w:p>
    <w:p>
      <w:pPr>
        <w:spacing w:after="80" w:before="0" w:line="36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80" w:before="0" w:line="36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160" w:line="360" w:lineRule="auto"/>
      </w:pPr>
      <w:r>
        <w:rPr>
          <w:rFonts w:ascii="Times New Roman" w:hAnsi="Times New Roman"/>
          <w:b/>
          <w:i w:val="0"/>
          <w:sz w:val="24"/>
        </w:rPr>
        <w:t>2.5 Model Evaluation and Baselines</w:t>
      </w:r>
    </w:p>
    <w:p>
      <w:pPr>
        <w:spacing w:after="80" w:before="0" w:line="36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80" w:before="0" w:line="36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80" w:before="0" w:line="360" w:lineRule="auto"/>
      </w:pPr>
      <w:r>
        <w:rPr>
          <w:rFonts w:ascii="Times New Roman" w:hAnsi="Times New Roman"/>
          <w:b w:val="0"/>
          <w:i w:val="0"/>
          <w:sz w:val="24"/>
        </w:rPr>
        <w:t>Primary evaluation metrics were precision (positive predictive value), recall (sensitivity), false-alarm ratio (false positives / total predicted positives), F1-score, and PR-AUC.</w:t>
      </w:r>
    </w:p>
    <w:p>
      <w:pPr>
        <w:spacing w:after="80" w:before="0" w:line="36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80" w:before="0" w:line="36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160" w:line="360" w:lineRule="auto"/>
      </w:pPr>
      <w:r>
        <w:rPr>
          <w:rFonts w:ascii="Times New Roman" w:hAnsi="Times New Roman"/>
          <w:b/>
          <w:i w:val="0"/>
          <w:sz w:val="24"/>
        </w:rPr>
        <w:t>2.6 Machine-Learning Models</w:t>
      </w:r>
    </w:p>
    <w:p>
      <w:pPr>
        <w:spacing w:after="80" w:before="0" w:line="36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80" w:before="0" w:line="36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80" w:before="0" w:line="36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160" w:line="360" w:lineRule="auto"/>
      </w:pPr>
      <w:r>
        <w:rPr>
          <w:rFonts w:ascii="Times New Roman" w:hAnsi="Times New Roman"/>
          <w:b/>
          <w:i w:val="0"/>
          <w:sz w:val="24"/>
        </w:rPr>
        <w:t>2.7 Temporal and Spatial Validation</w:t>
      </w:r>
    </w:p>
    <w:p>
      <w:pPr>
        <w:spacing w:after="80" w:before="0" w:line="36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80" w:before="0" w:line="360" w:lineRule="auto"/>
      </w:pPr>
      <w:r>
        <w:rPr>
          <w:rFonts w:ascii="Times New Roman" w:hAnsi="Times New Roman"/>
          <w:b w:val="0"/>
          <w:i w:val="0"/>
          <w:sz w:val="24"/>
        </w:rPr>
        <w:t>For each held-out region, models were trained on the remaining 19 regions and evaluated on the held-out region.</w:t>
      </w:r>
    </w:p>
    <w:p>
      <w:pPr>
        <w:spacing w:after="80" w:before="160" w:line="360" w:lineRule="auto"/>
      </w:pPr>
      <w:r>
        <w:rPr>
          <w:rFonts w:ascii="Times New Roman" w:hAnsi="Times New Roman"/>
          <w:b/>
          <w:i w:val="0"/>
          <w:sz w:val="24"/>
        </w:rPr>
        <w:t>2.7 Robustness Checks</w:t>
      </w:r>
    </w:p>
    <w:p>
      <w:pPr>
        <w:spacing w:after="80" w:before="0" w:line="36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160" w:line="360" w:lineRule="auto"/>
      </w:pPr>
      <w:r>
        <w:rPr>
          <w:rFonts w:ascii="Times New Roman" w:hAnsi="Times New Roman"/>
          <w:b/>
          <w:i w:val="0"/>
          <w:sz w:val="24"/>
        </w:rPr>
        <w:t>2.8 Use of AI-Assisted Tools</w:t>
      </w:r>
    </w:p>
    <w:p>
      <w:pPr>
        <w:spacing w:after="80" w:before="0" w:line="36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160" w:line="360" w:lineRule="auto"/>
      </w:pPr>
      <w:r>
        <w:rPr>
          <w:rFonts w:ascii="Times New Roman" w:hAnsi="Times New Roman"/>
          <w:b/>
          <w:i w:val="0"/>
          <w:sz w:val="24"/>
        </w:rPr>
        <w:t>3.1 Vegetation-Stress Event Catalogue</w:t>
      </w:r>
    </w:p>
    <w:p>
      <w:pPr>
        <w:spacing w:after="80" w:before="0" w:line="36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80" w:before="0" w:line="36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80" w:before="0" w:line="36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160" w:line="360" w:lineRule="auto"/>
      </w:pPr>
      <w:r>
        <w:rPr>
          <w:rFonts w:ascii="Times New Roman" w:hAnsi="Times New Roman"/>
          <w:b/>
          <w:i w:val="0"/>
          <w:sz w:val="24"/>
        </w:rPr>
        <w:t>3.2 Climate Precursor Features</w:t>
      </w:r>
    </w:p>
    <w:p>
      <w:pPr>
        <w:spacing w:after="80" w:before="0" w:line="36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80" w:before="0" w:line="360" w:lineRule="auto"/>
      </w:pPr>
      <w:r>
        <w:rPr>
          <w:rFonts w:ascii="Times New Roman" w:hAnsi="Times New Roman"/>
          <w:b w:val="0"/>
          <w:i w:val="0"/>
          <w:sz w:val="24"/>
        </w:rPr>
        <w:t>Anomalies were computed relative to each pixel''s 26-year climatology and shifted to lead times of 16, 32, 48, and 64 days, producing 20 lagged anomaly features. All features were aligned to vegetation observations without using future information relative to each observation row.</w:t>
      </w:r>
    </w:p>
    <w:p>
      <w:pPr>
        <w:spacing w:after="80" w:before="160" w:line="360" w:lineRule="auto"/>
      </w:pPr>
      <w:r>
        <w:rPr>
          <w:rFonts w:ascii="Times New Roman" w:hAnsi="Times New Roman"/>
          <w:b/>
          <w:i w:val="0"/>
          <w:sz w:val="24"/>
        </w:rPr>
        <w:t>3.3 Discovery of Precursor Signals</w:t>
      </w:r>
    </w:p>
    <w:p>
      <w:pPr>
        <w:spacing w:after="80" w:before="0" w:line="36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80" w:before="0" w:line="36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80" w:before="0" w:line="36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160" w:line="360" w:lineRule="auto"/>
      </w:pPr>
      <w:r>
        <w:rPr>
          <w:rFonts w:ascii="Times New Roman" w:hAnsi="Times New Roman"/>
          <w:b/>
          <w:i w:val="0"/>
          <w:sz w:val="24"/>
        </w:rPr>
        <w:t>3.4 Predictive Validation against Baselines</w:t>
      </w:r>
    </w:p>
    <w:p>
      <w:pPr>
        <w:spacing w:after="80" w:before="0" w:line="36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80" w:before="0" w:line="36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80" w:before="0" w:line="36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80" w:before="0" w:line="36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80" w:before="0" w:line="36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80" w:before="0" w:line="36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160" w:line="360" w:lineRule="auto"/>
      </w:pPr>
      <w:r>
        <w:rPr>
          <w:rFonts w:ascii="Times New Roman" w:hAnsi="Times New Roman"/>
          <w:b/>
          <w:i w:val="0"/>
          <w:sz w:val="24"/>
        </w:rPr>
        <w:t>3.5 Spatial Transfer and Robustness</w:t>
      </w:r>
    </w:p>
    <w:p>
      <w:pPr>
        <w:spacing w:after="80" w:before="0" w:line="36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80" w:before="0" w:line="36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80" w:before="0" w:line="36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160" w:line="360" w:lineRule="auto"/>
      </w:pPr>
      <w:r>
        <w:rPr>
          <w:rFonts w:ascii="Times New Roman" w:hAnsi="Times New Roman"/>
          <w:b/>
          <w:i w:val="0"/>
          <w:sz w:val="24"/>
        </w:rPr>
        <w:t>3.6 Machine-Learning Model Comparison</w:t>
      </w:r>
    </w:p>
    <w:p>
      <w:pPr>
        <w:spacing w:after="80" w:before="0" w:line="36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80" w:before="0" w:line="360" w:lineRule="auto"/>
      </w:pPr>
      <w:r>
        <w:rPr>
          <w:rFonts w:ascii="Times New Roman" w:hAnsi="Times New Roman"/>
          <w:b w:val="0"/>
          <w:i w:val="0"/>
          <w:sz w:val="24"/>
        </w:rPr>
        <w:t>Models were evaluated on the 2,005,080-row temporal holdout set (2019–2025).</w:t>
      </w:r>
    </w:p>
    <w:p>
      <w:pPr>
        <w:spacing w:after="80" w:before="0" w:line="360" w:lineRule="auto"/>
      </w:pPr>
      <w:r>
        <w:rPr>
          <w:rFonts w:ascii="Times New Roman" w:hAnsi="Times New Roman"/>
          <w:b w:val="0"/>
          <w:i w:val="0"/>
          <w:sz w:val="24"/>
        </w:rPr>
        <w:t>The persistence baseline and the best single-variable threshold (VPD at 16-day lag) are included for comparison (Table 1). **Table 1.** Performance of ML models versus baseline predictors on the temporal holdout set. | Model | Precision | Recall | False Alarm Ratio | |-------|:---------:|:------:|:------------------:| | VPD 16d (single-variable threshold) | 0.055 | 0.609 | 0.945 | | Persistence (previous event) | 0.659 | 0.661 | 0.341 | | Random Forest (100 trees) | 0.185 | 0.797 | 0.815 | | XGBoost (100 trees) | 0.191 | 0.791 | 0.809 | Both ML models substantially improved recall relative to the best single-variable threshold (from 0.609 to ~0.79), detecting approximately 80% of vegetation-stress events.</w:t>
      </w:r>
    </w:p>
    <w:p>
      <w:pPr>
        <w:spacing w:after="80" w:before="0" w:line="360" w:lineRule="auto"/>
      </w:pPr>
      <w:r>
        <w:rPr>
          <w:rFonts w:ascii="Times New Roman" w:hAnsi="Times New Roman"/>
          <w:b w:val="0"/>
          <w:i w:val="0"/>
          <w:sz w:val="24"/>
        </w:rPr>
        <w:t>Precision improved by a factor of 3.4 (from 0.055 to ~0.19), and the false-alarm ratio decreased from 0.945 to ~0.81.</w:t>
      </w:r>
    </w:p>
    <w:p>
      <w:pPr>
        <w:spacing w:after="80" w:before="0" w:line="36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80" w:before="0" w:line="36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80" w:before="0" w:line="36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160" w:line="360" w:lineRule="auto"/>
      </w:pPr>
      <w:r>
        <w:rPr>
          <w:rFonts w:ascii="Times New Roman" w:hAnsi="Times New Roman"/>
          <w:b/>
          <w:i w:val="0"/>
          <w:sz w:val="24"/>
        </w:rPr>
        <w:t>3.7 Latitude-Zone Stratification</w:t>
      </w:r>
    </w:p>
    <w:p>
      <w:pPr>
        <w:spacing w:after="80" w:before="0" w:line="36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w:t>
      </w:r>
    </w:p>
    <w:p>
      <w:pPr>
        <w:spacing w:after="80" w:before="0" w:line="360" w:lineRule="auto"/>
      </w:pPr>
      <w:r>
        <w:rPr>
          <w:rFonts w:ascii="Times New Roman" w:hAnsi="Times New Roman"/>
          <w:b w:val="0"/>
          <w:i w:val="0"/>
          <w:sz w:val="24"/>
        </w:rPr>
        <w:t>Separate XGBoost models were trained and evaluated for each zone (Table 2). **Table 2.** XGBoost performance by latitude zone on the temporal holdout set. | Zone | Samples | Stress Rate | Precision | Recall | FAR | |------|:-------:|:-----------:|:---------:|:------:|:---:| | North (~10–20°S, tropical) | 445,842 | 6.3% | 0.180 | 0.864 | 0.820 | | Central (~20–30°S, subtropical) | 1,064,850 | 8.6% | 0.199 | 0.797 | 0.801 | | South (~30–40°S, temperate) | 494,388 | 6.2% | 0.181 | 0.682 | 0.819 | The central subtropical zone—which encompasses much of Australia''s arid and semi-arid interior—exhibited the highest precision (0.199) and lowest false-alarm ratio (0.801), consistent with stronger climate–vegetation coupling in water-limited ecosystems.</w:t>
      </w:r>
    </w:p>
    <w:p>
      <w:pPr>
        <w:spacing w:after="80" w:before="0" w:line="36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80" w:before="0" w:line="36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160" w:line="360" w:lineRule="auto"/>
      </w:pPr>
      <w:r>
        <w:rPr>
          <w:rFonts w:ascii="Times New Roman" w:hAnsi="Times New Roman"/>
          <w:b/>
          <w:i w:val="0"/>
          <w:sz w:val="24"/>
        </w:rPr>
        <w:t>4. Discussion</w:t>
      </w:r>
    </w:p>
    <w:p>
      <w:pPr>
        <w:spacing w:after="80" w:before="0" w:line="360" w:lineRule="auto"/>
      </w:pPr>
      <w:r>
        <w:rPr>
          <w:rFonts w:ascii="Times New Roman" w:hAnsi="Times New Roman"/>
          <w:b w:val="0"/>
          <w:i w:val="0"/>
          <w:sz w:val="24"/>
        </w:rPr>
        <w:t>Our results establish that interpretable climate precursor signals can be systematically discovered from satellite vegetation records and reanalysis data on a unified spatial grid.</w:t>
      </w:r>
    </w:p>
    <w:p>
      <w:pPr>
        <w:spacing w:after="80" w:before="0" w:line="36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80" w:before="0" w:line="360" w:lineRule="auto"/>
      </w:pPr>
      <w:r>
        <w:rPr>
          <w:rFonts w:ascii="Times New Roman" w:hAnsi="Times New Roman"/>
          <w:b w:val="0"/>
          <w:i w:val="0"/>
          <w:sz w:val="24"/>
        </w:rPr>
        <w:t>Three findings carry particular implications for satellite-based vegetation stress early warning.</w:t>
      </w:r>
    </w:p>
    <w:p>
      <w:pPr>
        <w:spacing w:after="80" w:before="0" w:line="36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80" w:before="0" w:line="36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80" w:before="0" w:line="36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80" w:before="0" w:line="36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80" w:before="0" w:line="36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80" w:before="0" w:line="36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80" w:before="0" w:line="36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80" w:before="0" w:line="36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80" w:before="0" w:line="36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80" w:before="0" w:line="36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80" w:before="0" w:line="36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80" w:before="0" w:line="36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80" w:before="0" w:line="36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80" w:before="0" w:line="36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160" w:line="360" w:lineRule="auto"/>
      </w:pPr>
      <w:r>
        <w:rPr>
          <w:rFonts w:ascii="Times New Roman" w:hAnsi="Times New Roman"/>
          <w:b/>
          <w:i w:val="0"/>
          <w:sz w:val="24"/>
        </w:rPr>
        <w:t>5. Conclusions</w:t>
      </w:r>
    </w:p>
    <w:p>
      <w:pPr>
        <w:spacing w:after="80" w:before="0" w:line="360" w:lineRule="auto"/>
      </w:pPr>
      <w:r>
        <w:rPr>
          <w:rFonts w:ascii="Times New Roman" w:hAnsi="Times New Roman"/>
          <w:b w:val="0"/>
          <w:i w:val="0"/>
          <w:sz w:val="24"/>
        </w:rPr>
        <w:t>This study presents a reproducible, grid-aligned framework for discovering climate precursors of satellite-observed vegetation stress across Australia. Using 26 years of MODIS EVI anomalies and ERA5-Land climate reanalysis on a unified 0.25-degree grid, we demonstrate that soil-moisture deficit and VPD excess at 16–32 day lead times are the dominant precursor signals.</w:t>
      </w:r>
    </w:p>
    <w:p>
      <w:pPr>
        <w:spacing w:after="80" w:before="0" w:line="36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80" w:before="0" w:line="36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80" w:before="0" w:line="36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80" w:before="0" w:line="36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40" w:before="0" w:line="360" w:lineRule="auto"/>
      </w:pPr>
      <w:r>
        <w:rPr>
          <w:rFonts w:ascii="Times New Roman" w:hAnsi="Times New Roman"/>
          <w:b/>
          <w:i w:val="0"/>
          <w:sz w:val="20"/>
        </w:rPr>
        <w:t>Abstract:</w:t>
      </w:r>
    </w:p>
    <w:p>
      <w:pPr>
        <w:spacing w:after="160" w:before="0" w:line="312" w:lineRule="auto"/>
      </w:pPr>
      <w:r>
        <w:rPr>
          <w:rFonts w:ascii="Times New Roman" w:hAnsi="Times New Roman"/>
          <w:b w:val="0"/>
          <w:i/>
          <w:sz w:val="20"/>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MODIS; ERA5-Land; vegetation index; climate precursor; vapour pressure deficit; soil moisture; early warning; Australia; spatial grid alignment; false alarm ratio</w:t>
      </w:r>
    </w:p>
    <w:p>
      <w:pPr>
        <w:spacing w:after="80" w:before="120" w:line="360" w:lineRule="auto"/>
      </w:pPr>
      <w:r>
        <w:rPr>
          <w:rFonts w:ascii="Times New Roman" w:hAnsi="Times New Roman"/>
          <w:b/>
          <w:i w:val="0"/>
          <w:sz w:val="22"/>
        </w:rPr>
        <w:t>Author Contributions</w:t>
      </w:r>
    </w:p>
    <w:p>
      <w:pPr>
        <w:spacing w:after="40" w:before="0" w:line="360" w:lineRule="auto"/>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80" w:before="120" w:line="360" w:lineRule="auto"/>
      </w:pPr>
      <w:r>
        <w:rPr>
          <w:rFonts w:ascii="Times New Roman" w:hAnsi="Times New Roman"/>
          <w:b/>
          <w:i w:val="0"/>
          <w:sz w:val="22"/>
        </w:rPr>
        <w:t>Funding</w:t>
      </w:r>
    </w:p>
    <w:p>
      <w:pPr>
        <w:spacing w:after="40" w:before="0" w:line="360" w:lineRule="auto"/>
      </w:pPr>
      <w:r>
        <w:rPr>
          <w:rFonts w:ascii="Times New Roman" w:hAnsi="Times New Roman"/>
          <w:b w:val="0"/>
          <w:i w:val="0"/>
          <w:sz w:val="20"/>
        </w:rPr>
        <w:t>This research received no external funding.</w:t>
      </w:r>
    </w:p>
    <w:p>
      <w:pPr>
        <w:spacing w:after="80" w:before="120" w:line="360" w:lineRule="auto"/>
      </w:pPr>
      <w:r>
        <w:rPr>
          <w:rFonts w:ascii="Times New Roman" w:hAnsi="Times New Roman"/>
          <w:b/>
          <w:i w:val="0"/>
          <w:sz w:val="22"/>
        </w:rPr>
        <w:t>Data Availability Statement</w:t>
      </w:r>
    </w:p>
    <w:p>
      <w:pPr>
        <w:spacing w:after="40" w:before="0" w:line="360" w:lineRule="auto"/>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120" w:line="360" w:lineRule="auto"/>
      </w:pPr>
      <w:r>
        <w:rPr>
          <w:rFonts w:ascii="Times New Roman" w:hAnsi="Times New Roman"/>
          <w:b/>
          <w:i w:val="0"/>
          <w:sz w:val="22"/>
        </w:rPr>
        <w:t>Conflicts of Interest</w:t>
      </w:r>
    </w:p>
    <w:p>
      <w:pPr>
        <w:spacing w:after="40" w:before="0" w:line="360" w:lineRule="auto"/>
      </w:pPr>
      <w:r>
        <w:rPr>
          <w:rFonts w:ascii="Times New Roman" w:hAnsi="Times New Roman"/>
          <w:b w:val="0"/>
          <w:i w:val="0"/>
          <w:sz w:val="20"/>
        </w:rPr>
        <w:t>The author declares no conflicts of interest.</w:t>
      </w:r>
    </w:p>
    <w:p>
      <w:pPr>
        <w:spacing w:after="80" w:before="120" w:line="360" w:lineRule="auto"/>
      </w:pPr>
      <w:r>
        <w:rPr>
          <w:rFonts w:ascii="Times New Roman" w:hAnsi="Times New Roman"/>
          <w:b/>
          <w:i w:val="0"/>
          <w:sz w:val="22"/>
        </w:rPr>
        <w:t>Supplementary Materials</w:t>
      </w:r>
    </w:p>
    <w:p>
      <w:pPr>
        <w:spacing w:after="40" w:before="0" w:line="360" w:lineRule="auto"/>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2"/>
        </w:rPr>
        <w:t>References</w:t>
      </w:r>
    </w:p>
    <w:p>
      <w:pPr>
        <w:spacing w:after="40" w:before="0" w:line="360" w:lineRule="auto"/>
      </w:pPr>
      <w:r>
        <w:rPr>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after="40" w:before="0" w:line="360" w:lineRule="auto"/>
      </w:pPr>
      <w:r>
        <w:rPr>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after="40" w:before="0" w:line="360" w:lineRule="auto"/>
      </w:pPr>
      <w:r>
        <w:rPr>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after="40" w:before="0" w:line="360" w:lineRule="auto"/>
      </w:pPr>
      <w:r>
        <w:rPr>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40" w:before="0" w:line="360" w:lineRule="auto"/>
      </w:pPr>
      <w:r>
        <w:rPr>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after="40" w:before="0" w:line="360" w:lineRule="auto"/>
      </w:pPr>
      <w:r>
        <w:rPr>
          <w:rFonts w:ascii="Times New Roman" w:hAnsi="Times New Roman"/>
          <w:b w:val="0"/>
          <w:i w:val="0"/>
          <w:sz w:val="18"/>
        </w:rPr>
        <w:t>6. Didan, K. MOD13Q1 v061: MODIS/Terra Vegetation Indices 16-Day L3 Global 250 m SIN Grid. NASA LP DAAC, 2015. DOI: 10.5067/MODIS/MOD13Q1.061.</w:t>
      </w:r>
    </w:p>
    <w:p>
      <w:pPr>
        <w:spacing w:after="40" w:before="0" w:line="360" w:lineRule="auto"/>
      </w:pPr>
      <w:r>
        <w:rPr>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40" w:before="0" w:line="360" w:lineRule="auto"/>
      </w:pPr>
      <w:r>
        <w:rPr>
          <w:rFonts w:ascii="Times New Roman" w:hAnsi="Times New Roman"/>
          <w:b w:val="0"/>
          <w:i w:val="0"/>
          <w:sz w:val="18"/>
        </w:rPr>
        <w:t>8. Hao, Z.; Singh, V.P. Drought characterization from a multivariate perspective: A review. *J. Hydrol.* **2015**, *527*, 668–678. DOI: 10.1016/j.jhydrol.2015.05.031.</w:t>
      </w:r>
    </w:p>
    <w:p>
      <w:pPr>
        <w:spacing w:after="40" w:before="0" w:line="360" w:lineRule="auto"/>
      </w:pPr>
      <w:r>
        <w:rPr>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40" w:before="0" w:line="360" w:lineRule="auto"/>
      </w:pPr>
      <w:r>
        <w:rPr>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after="40" w:before="0" w:line="360" w:lineRule="auto"/>
      </w:pPr>
      <w:r>
        <w:rPr>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after="40" w:before="0" w:line="360" w:lineRule="auto"/>
      </w:pPr>
      <w:r>
        <w:rPr>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after="40" w:before="0" w:line="360" w:lineRule="auto"/>
      </w:pPr>
      <w:r>
        <w:rPr>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after="40" w:before="0" w:line="360" w:lineRule="auto"/>
      </w:pPr>
      <w:r>
        <w:rPr>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40" w:before="0" w:line="360" w:lineRule="auto"/>
      </w:pPr>
      <w:r>
        <w:rPr>
          <w:rFonts w:ascii="Times New Roman" w:hAnsi="Times New Roman"/>
          <w:b w:val="0"/>
          <w:i w:val="0"/>
          <w:sz w:val="8"/>
        </w:rPr>
      </w:r>
    </w:p>
    <w:p>
      <w:pPr>
        <w:spacing w:after="120" w:before="0" w:line="360" w:lineRule="auto"/>
        <w:jc w:val="center"/>
      </w:pPr>
      <w:r>
        <w:rPr>
          <w:rFonts w:ascii="Times New Roman" w:hAnsi="Times New Roman"/>
          <w:b w:val="0"/>
          <w:i/>
          <w:sz w:val="16"/>
        </w:rPr>
        <w:t>Prepared for submission to Remote Sensing (MDPI). v3-revised, 2026-06-08.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