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MODIS and ERA5-Land are aligned in a shared-grid workflow.</w:t>
      </w:r>
    </w:p>
    <w:p>
      <w:r>
        <w:rPr>
          <w:rFonts w:ascii="Times New Roman" w:hAnsi="Times New Roman"/>
          <w:sz w:val="24"/>
        </w:rPr>
        <w:t>Soil moisture and VPD dominate 16-32 day precursor signals.</w:t>
      </w:r>
    </w:p>
    <w:p>
      <w:r>
        <w:rPr>
          <w:rFonts w:ascii="Times New Roman" w:hAnsi="Times New Roman"/>
          <w:sz w:val="24"/>
        </w:rPr>
        <w:t>XGBoost improves detection but false alarms remain high.</w:t>
      </w:r>
    </w:p>
    <w:p>
      <w:r>
        <w:rPr>
          <w:rFonts w:ascii="Times New Roman" w:hAnsi="Times New Roman"/>
          <w:sz w:val="24"/>
        </w:rPr>
        <w:t>Persistence outperforms climate-only predictors in precision.</w:t>
      </w:r>
    </w:p>
    <w:p>
      <w:r>
        <w:rPr>
          <w:rFonts w:ascii="Times New Roman" w:hAnsi="Times New Roman"/>
          <w:sz w:val="24"/>
        </w:rPr>
        <w:t>The pipeline is reproducible via GEE, Python, GitHub and Zenodo.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