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88" w:lineRule="auto"/>
        <w:jc w:val="center"/>
      </w:pPr>
      <w:r>
        <w:rPr>
          <w:rFonts w:ascii="Times New Roman" w:hAnsi="Times New Roman"/>
          <w:b/>
          <w:i w:val="0"/>
          <w:sz w:val="32"/>
        </w:rPr>
        <w:t>A Reproducible Ecological Informatics Framework for Discovering Lagged Climate Precursors of Vegetation-Index Stress across Australia</w:t>
      </w:r>
    </w:p>
    <w:p>
      <w:pPr>
        <w:spacing w:after="40" w:before="0" w:line="360" w:lineRule="auto"/>
        <w:jc w:val="center"/>
      </w:pPr>
      <w:r>
        <w:rPr>
          <w:rFonts w:ascii="Times New Roman" w:hAnsi="Times New Roman"/>
          <w:b w:val="0"/>
          <w:i w:val="0"/>
          <w:sz w:val="24"/>
        </w:rPr>
        <w:t>Zhuoxian Wu</w:t>
      </w:r>
    </w:p>
    <w:p>
      <w:pPr>
        <w:spacing w:after="240" w:before="0" w:line="360" w:lineRule="auto"/>
        <w:jc w:val="center"/>
      </w:pPr>
      <w:r>
        <w:rPr>
          <w:rFonts w:ascii="Times New Roman" w:hAnsi="Times New Roman"/>
          <w:b w:val="0"/>
          <w:i w:val="0"/>
          <w:sz w:val="20"/>
        </w:rPr>
        <w:t>Guangdong Neusoft Institute of Technology, Foshan, Guangdong, China; wum2371@gmail.com</w:t>
      </w:r>
    </w:p>
    <w:p>
      <w:pPr>
        <w:spacing w:after="80" w:before="160" w:line="360" w:lineRule="auto"/>
      </w:pPr>
      <w:r>
        <w:rPr>
          <w:rFonts w:ascii="Times New Roman" w:hAnsi="Times New Roman"/>
          <w:b/>
          <w:i w:val="0"/>
          <w:sz w:val="24"/>
        </w:rPr>
        <w:t>1. Introduction</w:t>
      </w:r>
    </w:p>
    <w:p>
      <w:pPr>
        <w:spacing w:after="80" w:before="0" w:line="360" w:lineRule="auto"/>
      </w:pPr>
      <w:r>
        <w:rPr>
          <w:rFonts w:ascii="Times New Roman" w:hAnsi="Times New Roman"/>
          <w:b w:val="0"/>
          <w:i w:val="0"/>
          <w:sz w:val="24"/>
        </w:rPr>
        <w:t>Terrestrial ecosystems modulate carbon, water, and energy exchanges at continental to global scales, but their capacity to do so is increasingly disrupted by compound climate extremes [1,2].</w:t>
      </w:r>
    </w:p>
    <w:p>
      <w:pPr>
        <w:spacing w:after="80" w:before="0" w:line="360" w:lineRule="auto"/>
      </w:pPr>
      <w:r>
        <w:rPr>
          <w:rFonts w:ascii="Times New Roman" w:hAnsi="Times New Roman"/>
          <w:b w:val="0"/>
          <w:i w:val="0"/>
          <w:sz w:val="24"/>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80" w:before="0" w:line="360" w:lineRule="auto"/>
      </w:pPr>
      <w:r>
        <w:rPr>
          <w:rFonts w:ascii="Times New Roman" w:hAnsi="Times New Roman"/>
          <w:b w:val="0"/>
          <w:i w:val="0"/>
          <w:sz w:val="24"/>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80" w:before="0" w:line="360" w:lineRule="auto"/>
      </w:pPr>
      <w:r>
        <w:rPr>
          <w:rFonts w:ascii="Times New Roman" w:hAnsi="Times New Roman"/>
          <w:b w:val="0"/>
          <w:i w:val="0"/>
          <w:sz w:val="24"/>
        </w:rPr>
        <w:t>Current operational drought and heat-stress monitoring relies predominantly on single-variable indices such as the Standardized Precipitation-Evapotranspiration Index (SPEI) or temperature-percentile thresholds [8].</w:t>
      </w:r>
    </w:p>
    <w:p>
      <w:pPr>
        <w:spacing w:after="80" w:before="0" w:line="360" w:lineRule="auto"/>
      </w:pPr>
      <w:r>
        <w:rPr>
          <w:rFonts w:ascii="Times New Roman" w:hAnsi="Times New Roman"/>
          <w:b w:val="0"/>
          <w:i w:val="0"/>
          <w:sz w:val="24"/>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80" w:before="0" w:line="360" w:lineRule="auto"/>
      </w:pPr>
      <w:r>
        <w:rPr>
          <w:rFonts w:ascii="Times New Roman" w:hAnsi="Times New Roman"/>
          <w:b w:val="0"/>
          <w:i w:val="0"/>
          <w:sz w:val="24"/>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80" w:before="0" w:line="360" w:lineRule="auto"/>
      </w:pPr>
      <w:r>
        <w:rPr>
          <w:rFonts w:ascii="Times New Roman" w:hAnsi="Times New Roman"/>
          <w:b w:val="0"/>
          <w:i w:val="0"/>
          <w:sz w:val="24"/>
        </w:rPr>
        <w:t>Second, discovered climate precursors are rarely compared against simple temporal baselines such as the persistence of a previous stress event, making it difficult to assess whether the precursor adds value beyond temporal autocorrelation.</w:t>
      </w:r>
    </w:p>
    <w:p>
      <w:pPr>
        <w:spacing w:after="80" w:before="0" w:line="360" w:lineRule="auto"/>
      </w:pPr>
      <w:r>
        <w:rPr>
          <w:rFonts w:ascii="Times New Roman" w:hAnsi="Times New Roman"/>
          <w:b w:val="0"/>
          <w:i w:val="0"/>
          <w:sz w:val="24"/>
        </w:rPr>
        <w:t>Third, the spatial transferability of discovered precursors—whether a signal learned in one region holds in another—is seldom tested with the same rigour as temporal holdout.</w:t>
      </w:r>
    </w:p>
    <w:p>
      <w:pPr>
        <w:spacing w:after="80" w:before="0" w:line="360" w:lineRule="auto"/>
      </w:pPr>
      <w:r>
        <w:rPr>
          <w:rFonts w:ascii="Times New Roman" w:hAnsi="Times New Roman"/>
          <w:b w:val="0"/>
          <w:i w:val="0"/>
          <w:sz w:val="24"/>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80" w:before="0" w:line="360" w:lineRule="auto"/>
      </w:pPr>
      <w:r>
        <w:rPr>
          <w:rFonts w:ascii="Times New Roman" w:hAnsi="Times New Roman"/>
          <w:b w:val="0"/>
          <w:i w:val="0"/>
          <w:sz w:val="24"/>
        </w:rPr>
        <w:t>A central methodological requirement is that MODIS and ERA5 data must reside on the same pixel grid before any analysis proceeds—an automated grid-alignment audit verifies this condition for every exported file.</w:t>
      </w:r>
    </w:p>
    <w:p>
      <w:pPr>
        <w:spacing w:after="80" w:before="160" w:line="360" w:lineRule="auto"/>
      </w:pPr>
      <w:r>
        <w:rPr>
          <w:rFonts w:ascii="Times New Roman" w:hAnsi="Times New Roman"/>
          <w:b/>
          <w:i w:val="0"/>
          <w:sz w:val="24"/>
        </w:rPr>
        <w:t>2. Materials and Methods</w:t>
      </w:r>
    </w:p>
    <w:p>
      <w:pPr>
        <w:spacing w:after="80" w:before="0" w:line="360" w:lineRule="auto"/>
      </w:pPr>
      <w:r>
        <w:rPr>
          <w:rFonts w:ascii="Times New Roman" w:hAnsi="Times New Roman"/>
          <w:b w:val="0"/>
          <w:i w:val="0"/>
          <w:sz w:val="24"/>
        </w:rPr>
        <w:t>The ecological informatics workflow developed in this study comprises four stages: (1) shared-grid data ingestion and quality control, (2) vegetation-stress event definition and lagged climate feature engineering, (3) systematic model comparison across baseline, threshold, and machine-learning approaches, and (4) validation and interpretability analysis.</w:t>
      </w:r>
    </w:p>
    <w:p>
      <w:pPr>
        <w:spacing w:after="80" w:before="0" w:line="360" w:lineRule="auto"/>
      </w:pPr>
      <w:r>
        <w:rPr>
          <w:rFonts w:ascii="Times New Roman" w:hAnsi="Times New Roman"/>
          <w:b w:val="0"/>
          <w:i w:val="0"/>
          <w:sz w:val="24"/>
        </w:rPr>
        <w:t>All stages were implemented as version-controlled Python modules with explicit parameterisation.</w:t>
      </w:r>
    </w:p>
    <w:p>
      <w:pPr>
        <w:spacing w:after="80" w:before="160" w:line="360" w:lineRule="auto"/>
      </w:pPr>
      <w:r>
        <w:rPr>
          <w:rFonts w:ascii="Times New Roman" w:hAnsi="Times New Roman"/>
          <w:b/>
          <w:i w:val="0"/>
          <w:sz w:val="24"/>
        </w:rPr>
        <w:t>2.1 Study Domain and Data Sources and Shared-Grid Preprocessing</w:t>
      </w:r>
    </w:p>
    <w:p>
      <w:pPr>
        <w:spacing w:after="80" w:before="0" w:line="360" w:lineRule="auto"/>
      </w:pPr>
      <w:r>
        <w:rPr>
          <w:rFonts w:ascii="Times New Roman" w:hAnsi="Times New Roman"/>
          <w:b w:val="0"/>
          <w:i w:val="0"/>
          <w:sz w:val="24"/>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80" w:before="0" w:line="360" w:lineRule="auto"/>
      </w:pPr>
      <w:r>
        <w:rPr>
          <w:rFonts w:ascii="Times New Roman" w:hAnsi="Times New Roman"/>
          <w:b w:val="0"/>
          <w:i w:val="0"/>
          <w:sz w:val="24"/>
        </w:rPr>
        <w:t>The MODIS products natively use a sinusoidal projection at approximately 250 m resolution; the GEE export pipeline reprojects both MODIS and ERA5 data to the shared grid at export time.</w:t>
      </w:r>
    </w:p>
    <w:p>
      <w:pPr>
        <w:spacing w:after="80" w:before="0" w:line="360" w:lineRule="auto"/>
      </w:pPr>
      <w:r>
        <w:rPr>
          <w:rFonts w:ascii="Times New Roman" w:hAnsi="Times New Roman"/>
          <w:b w:val="0"/>
          <w:i w:val="0"/>
          <w:sz w:val="24"/>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80" w:before="0" w:line="360" w:lineRule="auto"/>
      </w:pPr>
      <w:r>
        <w:rPr>
          <w:rFonts w:ascii="Times New Roman" w:hAnsi="Times New Roman"/>
          <w:b w:val="0"/>
          <w:i w:val="0"/>
          <w:sz w:val="24"/>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80" w:before="0" w:line="360" w:lineRule="auto"/>
      </w:pPr>
      <w:r>
        <w:rPr>
          <w:rFonts w:ascii="Times New Roman" w:hAnsi="Times New Roman"/>
          <w:b w:val="0"/>
          <w:i w:val="0"/>
          <w:sz w:val="24"/>
        </w:rPr>
        <w:t>ERA5-Land hourly climate reanalysis [7] was accessed via the same GEE instance and exported on the identical spatial grid at 16-day compositing resolution.</w:t>
      </w:r>
    </w:p>
    <w:p>
      <w:pPr>
        <w:spacing w:after="80" w:before="0" w:line="360" w:lineRule="auto"/>
      </w:pPr>
      <w:r>
        <w:rPr>
          <w:rFonts w:ascii="Times New Roman" w:hAnsi="Times New Roman"/>
          <w:b w:val="0"/>
          <w:i w:val="0"/>
          <w:sz w:val="24"/>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80" w:before="0" w:line="360" w:lineRule="auto"/>
      </w:pPr>
      <w:r>
        <w:rPr>
          <w:rFonts w:ascii="Times New Roman" w:hAnsi="Times New Roman"/>
          <w:b w:val="0"/>
          <w:i w:val="0"/>
          <w:sz w:val="24"/>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80" w:before="0" w:line="360" w:lineRule="auto"/>
      </w:pPr>
      <w:r>
        <w:rPr>
          <w:rFonts w:ascii="Times New Roman" w:hAnsi="Times New Roman"/>
          <w:b w:val="0"/>
          <w:i w:val="0"/>
          <w:sz w:val="24"/>
        </w:rPr>
        <w:t>Twenty-six annual GeoTIFF files were produced for MODIS (2000–2025) and 26 for ERA5 (2000–2025).</w:t>
      </w:r>
    </w:p>
    <w:p>
      <w:pPr>
        <w:spacing w:after="80" w:before="160" w:line="360" w:lineRule="auto"/>
      </w:pPr>
      <w:r>
        <w:rPr>
          <w:rFonts w:ascii="Times New Roman" w:hAnsi="Times New Roman"/>
          <w:b/>
          <w:i w:val="0"/>
          <w:sz w:val="24"/>
        </w:rPr>
        <w:t>2.2 Grid-Alignment Audit</w:t>
      </w:r>
    </w:p>
    <w:p>
      <w:pPr>
        <w:spacing w:after="80" w:before="0" w:line="360" w:lineRule="auto"/>
      </w:pPr>
      <w:r>
        <w:rPr>
          <w:rFonts w:ascii="Times New Roman" w:hAnsi="Times New Roman"/>
          <w:b w:val="0"/>
          <w:i w:val="0"/>
          <w:sz w:val="24"/>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80" w:before="0" w:line="360" w:lineRule="auto"/>
      </w:pPr>
      <w:r>
        <w:rPr>
          <w:rFonts w:ascii="Times New Roman" w:hAnsi="Times New Roman"/>
          <w:b w:val="0"/>
          <w:i w:val="0"/>
          <w:sz w:val="24"/>
        </w:rPr>
        <w:t>This step ensures that pixel identifiers of the form p{row}c{col} carry consistent spatial meaning across the MODIS and ERA5 datasets.</w:t>
      </w:r>
    </w:p>
    <w:p>
      <w:pPr>
        <w:spacing w:after="80" w:before="160" w:line="360" w:lineRule="auto"/>
      </w:pPr>
      <w:r>
        <w:rPr>
          <w:rFonts w:ascii="Times New Roman" w:hAnsi="Times New Roman"/>
          <w:b/>
          <w:i w:val="0"/>
          <w:sz w:val="24"/>
        </w:rPr>
        <w:t>2.3 Vegetation Anomaly and Event Definition</w:t>
      </w:r>
    </w:p>
    <w:p>
      <w:pPr>
        <w:spacing w:after="80" w:before="0" w:line="360" w:lineRule="auto"/>
      </w:pPr>
      <w:r>
        <w:rPr>
          <w:rFonts w:ascii="Times New Roman" w:hAnsi="Times New Roman"/>
          <w:b w:val="0"/>
          <w:i w:val="0"/>
          <w:sz w:val="24"/>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80" w:before="0" w:line="360" w:lineRule="auto"/>
      </w:pPr>
      <w:r>
        <w:rPr>
          <w:rFonts w:ascii="Times New Roman" w:hAnsi="Times New Roman"/>
          <w:b w:val="0"/>
          <w:i w:val="0"/>
          <w:sz w:val="24"/>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80" w:before="0" w:line="360" w:lineRule="auto"/>
      </w:pPr>
      <w:r>
        <w:rPr>
          <w:rFonts w:ascii="Times New Roman" w:hAnsi="Times New Roman"/>
          <w:b w:val="0"/>
          <w:i w:val="0"/>
          <w:sz w:val="24"/>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80" w:before="0" w:line="360" w:lineRule="auto"/>
      </w:pPr>
      <w:r>
        <w:rPr>
          <w:rFonts w:ascii="Times New Roman" w:hAnsi="Times New Roman"/>
          <w:b w:val="0"/>
          <w:i w:val="0"/>
          <w:sz w:val="24"/>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80" w:before="160" w:line="360" w:lineRule="auto"/>
      </w:pPr>
      <w:r>
        <w:rPr>
          <w:rFonts w:ascii="Times New Roman" w:hAnsi="Times New Roman"/>
          <w:b/>
          <w:i w:val="0"/>
          <w:sz w:val="24"/>
        </w:rPr>
        <w:t>2.4 Climate Precursor Features</w:t>
      </w:r>
    </w:p>
    <w:p>
      <w:pPr>
        <w:spacing w:after="80" w:before="0" w:line="360" w:lineRule="auto"/>
      </w:pPr>
      <w:r>
        <w:rPr>
          <w:rFonts w:ascii="Times New Roman" w:hAnsi="Times New Roman"/>
          <w:b w:val="0"/>
          <w:i w:val="0"/>
          <w:sz w:val="24"/>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80" w:before="0" w:line="360" w:lineRule="auto"/>
      </w:pPr>
      <w:r>
        <w:rPr>
          <w:rFonts w:ascii="Times New Roman" w:hAnsi="Times New Roman"/>
          <w:b w:val="0"/>
          <w:i w:val="0"/>
          <w:sz w:val="24"/>
        </w:rPr>
        <w:t>This procedure produced 20 lagged anomaly features (5 variables × 4 lead times). Dewpoint temperature was used only in the VPD calculation and was not included as a separate predictor.</w:t>
      </w:r>
    </w:p>
    <w:p>
      <w:pPr>
        <w:spacing w:after="80" w:before="160" w:line="360" w:lineRule="auto"/>
      </w:pPr>
      <w:r>
        <w:rPr>
          <w:rFonts w:ascii="Times New Roman" w:hAnsi="Times New Roman"/>
          <w:b/>
          <w:i w:val="0"/>
          <w:sz w:val="24"/>
        </w:rPr>
        <w:t>2.5 Model Evaluation and Baselines</w:t>
      </w:r>
    </w:p>
    <w:p>
      <w:pPr>
        <w:spacing w:after="80" w:before="0" w:line="360" w:lineRule="auto"/>
      </w:pPr>
      <w:r>
        <w:rPr>
          <w:rFonts w:ascii="Times New Roman" w:hAnsi="Times New Roman"/>
          <w:b w:val="0"/>
          <w:i w:val="0"/>
          <w:sz w:val="24"/>
        </w:rPr>
        <w:t>Candidate precursors were ranked by the absolute value of the point-biserial correlation between each lagged climate anomaly and the binary stress-event label.</w:t>
      </w:r>
    </w:p>
    <w:p>
      <w:pPr>
        <w:spacing w:after="80" w:before="0" w:line="360" w:lineRule="auto"/>
      </w:pPr>
      <w:r>
        <w:rPr>
          <w:rFonts w:ascii="Times New Roman" w:hAnsi="Times New Roman"/>
          <w:b w:val="0"/>
          <w:i w:val="0"/>
          <w:sz w:val="24"/>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80" w:before="0" w:line="360" w:lineRule="auto"/>
      </w:pPr>
      <w:r>
        <w:rPr>
          <w:rFonts w:ascii="Times New Roman" w:hAnsi="Times New Roman"/>
          <w:b w:val="0"/>
          <w:i w:val="0"/>
          <w:sz w:val="24"/>
        </w:rPr>
        <w:t>Primary evaluation metrics were precision (positive predictive value), recall (sensitivity), false-alarm ratio (false positives / total predicted positives), and F1-score.</w:t>
      </w:r>
    </w:p>
    <w:p>
      <w:pPr>
        <w:spacing w:after="80" w:before="0" w:line="360" w:lineRule="auto"/>
      </w:pPr>
      <w:r>
        <w:rPr>
          <w:rFonts w:ascii="Times New Roman" w:hAnsi="Times New Roman"/>
          <w:b w:val="0"/>
          <w:i w:val="0"/>
          <w:sz w:val="24"/>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80" w:before="0" w:line="360" w:lineRule="auto"/>
      </w:pPr>
      <w:r>
        <w:rPr>
          <w:rFonts w:ascii="Times New Roman" w:hAnsi="Times New Roman"/>
          <w:b w:val="0"/>
          <w:i w:val="0"/>
          <w:sz w:val="24"/>
        </w:rPr>
        <w:t>We emphasise that for imbalanced event-detection problems with low base rates (~7%), accuracy is dominated by the majority class; precision, recall, and false-alarm ratio at the pixel–window level are the primary metrics of interest.</w:t>
      </w:r>
    </w:p>
    <w:p>
      <w:pPr>
        <w:spacing w:after="80" w:before="160" w:line="360" w:lineRule="auto"/>
      </w:pPr>
      <w:r>
        <w:rPr>
          <w:rFonts w:ascii="Times New Roman" w:hAnsi="Times New Roman"/>
          <w:b/>
          <w:i w:val="0"/>
          <w:sz w:val="24"/>
        </w:rPr>
        <w:t>2.6 Machine-Learning Models</w:t>
      </w:r>
    </w:p>
    <w:p>
      <w:pPr>
        <w:spacing w:after="80" w:before="0" w:line="360" w:lineRule="auto"/>
      </w:pPr>
      <w:r>
        <w:rPr>
          <w:rFonts w:ascii="Times New Roman" w:hAnsi="Times New Roman"/>
          <w:b w:val="0"/>
          <w:i w:val="0"/>
          <w:sz w:val="24"/>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80" w:before="0" w:line="360" w:lineRule="auto"/>
      </w:pPr>
      <w:r>
        <w:rPr>
          <w:rFonts w:ascii="Times New Roman" w:hAnsi="Times New Roman"/>
          <w:b w:val="0"/>
          <w:i w:val="0"/>
          <w:sz w:val="24"/>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80" w:before="0" w:line="360" w:lineRule="auto"/>
      </w:pPr>
      <w:r>
        <w:rPr>
          <w:rFonts w:ascii="Times New Roman" w:hAnsi="Times New Roman"/>
          <w:b w:val="0"/>
          <w:i w:val="0"/>
          <w:sz w:val="24"/>
        </w:rPr>
        <w:t>Both models were evaluated on the temporal holdout set (2019–2025) using the same metrics as the threshold-based baselines. No early stopping or calibration was applied.</w:t>
      </w:r>
    </w:p>
    <w:p>
      <w:pPr>
        <w:spacing w:after="80" w:before="160" w:line="360" w:lineRule="auto"/>
      </w:pPr>
      <w:r>
        <w:rPr>
          <w:rFonts w:ascii="Times New Roman" w:hAnsi="Times New Roman"/>
          <w:b/>
          <w:i w:val="0"/>
          <w:sz w:val="24"/>
        </w:rPr>
        <w:t>2.7 Temporal and Spatial Validation</w:t>
      </w:r>
    </w:p>
    <w:p>
      <w:pPr>
        <w:spacing w:after="80" w:before="0" w:line="360" w:lineRule="auto"/>
      </w:pPr>
      <w:r>
        <w:rPr>
          <w:rFonts w:ascii="Times New Roman" w:hAnsi="Times New Roman"/>
          <w:b w:val="0"/>
          <w:i w:val="0"/>
          <w:sz w:val="24"/>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80" w:before="0" w:line="360" w:lineRule="auto"/>
      </w:pPr>
      <w:r>
        <w:rPr>
          <w:rFonts w:ascii="Times New Roman" w:hAnsi="Times New Roman"/>
          <w:b w:val="0"/>
          <w:i w:val="0"/>
          <w:sz w:val="24"/>
        </w:rPr>
        <w:t>For each held-out region, models were trained on the remaining 19 regions and evaluated on the held-out region.</w:t>
      </w:r>
    </w:p>
    <w:p>
      <w:pPr>
        <w:spacing w:after="80" w:before="160" w:line="360" w:lineRule="auto"/>
      </w:pPr>
      <w:r>
        <w:rPr>
          <w:rFonts w:ascii="Times New Roman" w:hAnsi="Times New Roman"/>
          <w:b/>
          <w:i w:val="0"/>
          <w:sz w:val="24"/>
        </w:rPr>
        <w:t>2.8 Robustness and Sensitivity Checks</w:t>
      </w:r>
    </w:p>
    <w:p>
      <w:pPr>
        <w:spacing w:after="80" w:before="0" w:line="360" w:lineRule="auto"/>
      </w:pPr>
      <w:r>
        <w:rPr>
          <w:rFonts w:ascii="Times New Roman" w:hAnsi="Times New Roman"/>
          <w:b w:val="0"/>
          <w:i w:val="0"/>
          <w:sz w:val="24"/>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80" w:before="160" w:line="360" w:lineRule="auto"/>
      </w:pPr>
      <w:r>
        <w:rPr>
          <w:rFonts w:ascii="Times New Roman" w:hAnsi="Times New Roman"/>
          <w:b/>
          <w:i w:val="0"/>
          <w:sz w:val="24"/>
        </w:rPr>
        <w:t>2.9 Reproducibility and Software Availability</w:t>
      </w:r>
    </w:p>
    <w:p>
      <w:pPr>
        <w:spacing w:after="80" w:before="0" w:line="360" w:lineRule="auto"/>
      </w:pPr>
      <w:r>
        <w:rPr>
          <w:rFonts w:ascii="Times New Roman" w:hAnsi="Times New Roman"/>
          <w:b w:val="0"/>
          <w:i w:val="0"/>
          <w:sz w:val="24"/>
        </w:rPr>
        <w:t>The complete analysis pipeline—from Google Earth Engine data export through local GeoTIFF conversion, quality filtering, anomaly computation, event catalogue construction, feature engineering, model training, validation, robustness checking, and figure generation—is implemented as a Python package (nature-climate-ai) with a command-line interface.</w:t>
      </w:r>
    </w:p>
    <w:p>
      <w:pPr>
        <w:spacing w:after="80" w:before="0" w:line="360" w:lineRule="auto"/>
      </w:pPr>
      <w:r>
        <w:rPr>
          <w:rFonts w:ascii="Times New Roman" w:hAnsi="Times New Roman"/>
          <w:b w:val="0"/>
          <w:i w:val="0"/>
          <w:sz w:val="24"/>
        </w:rPr>
        <w:t>The package is version-controlled on GitHub (https://github.com/WUMIKE233/nature-climate-ai, release v1.0-rs) and permanently archived on Zenodo (DOI: 10.5281/zenodo.14882001). All model configurations, random seeds, and evaluation metrics are recorded in version-controlled configuration files. The GEE export scripts (JavaScript) are included in the repository.</w:t>
      </w:r>
    </w:p>
    <w:p>
      <w:pPr>
        <w:spacing w:after="80" w:before="0" w:line="360" w:lineRule="auto"/>
      </w:pPr>
      <w:r>
        <w:rPr>
          <w:rFonts w:ascii="Times New Roman" w:hAnsi="Times New Roman"/>
          <w:b w:val="0"/>
          <w:i w:val="0"/>
          <w:sz w:val="24"/>
        </w:rPr>
        <w:t>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4"/>
        </w:rPr>
        <w:t>2.10 Use of AI-Assisted Tools</w:t>
      </w:r>
    </w:p>
    <w:p>
      <w:pPr>
        <w:spacing w:after="80" w:before="0" w:line="360" w:lineRule="auto"/>
      </w:pPr>
      <w:r>
        <w:rPr>
          <w:rFonts w:ascii="Times New Roman" w:hAnsi="Times New Roman"/>
          <w:b w:val="0"/>
          <w:i w:val="0"/>
          <w:sz w:val="24"/>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80" w:before="160" w:line="360" w:lineRule="auto"/>
      </w:pPr>
      <w:r>
        <w:rPr>
          <w:rFonts w:ascii="Times New Roman" w:hAnsi="Times New Roman"/>
          <w:b/>
          <w:i w:val="0"/>
          <w:sz w:val="24"/>
        </w:rPr>
        <w:t>3. Results</w:t>
      </w:r>
    </w:p>
    <w:p>
      <w:pPr>
        <w:spacing w:after="80" w:before="0" w:line="360" w:lineRule="auto"/>
      </w:pPr>
      <w:r>
        <w:rPr>
          <w:rFonts w:ascii="Times New Roman" w:hAnsi="Times New Roman"/>
          <w:b w:val="0"/>
          <w:i w:val="0"/>
          <w:sz w:val="24"/>
        </w:rPr>
        <w:t>The ecological informatics pipeline described in Section 2 was executed on the full 26-year data record. Results follow the four-stage structure.</w:t>
      </w:r>
    </w:p>
    <w:p>
      <w:pPr>
        <w:spacing w:after="80" w:before="160" w:line="360" w:lineRule="auto"/>
      </w:pPr>
      <w:r>
        <w:rPr>
          <w:rFonts w:ascii="Times New Roman" w:hAnsi="Times New Roman"/>
          <w:b/>
          <w:i w:val="0"/>
          <w:sz w:val="24"/>
        </w:rPr>
        <w:t>3.1 Shared-Grid Data Cube and Vegetation-Stress Event Catalogue</w:t>
      </w:r>
    </w:p>
    <w:p>
      <w:pPr>
        <w:spacing w:after="80" w:before="0" w:line="360" w:lineRule="auto"/>
      </w:pPr>
      <w:r>
        <w:rPr>
          <w:rFonts w:ascii="Times New Roman" w:hAnsi="Times New Roman"/>
          <w:b w:val="0"/>
          <w:i w:val="0"/>
          <w:sz w:val="24"/>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80" w:before="0" w:line="360" w:lineRule="auto"/>
      </w:pPr>
      <w:r>
        <w:rPr>
          <w:rFonts w:ascii="Times New Roman" w:hAnsi="Times New Roman"/>
          <w:b w:val="0"/>
          <w:i w:val="0"/>
          <w:sz w:val="24"/>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80" w:before="0" w:line="360" w:lineRule="auto"/>
      </w:pPr>
      <w:r>
        <w:rPr>
          <w:rFonts w:ascii="Times New Roman" w:hAnsi="Times New Roman"/>
          <w:b w:val="0"/>
          <w:i w:val="0"/>
          <w:sz w:val="24"/>
        </w:rPr>
        <w:t>This procedure yielded 1,438,750 anomaly records and a modelling-eligible sample of 7,287,280 rows, of which 503,743 (6.9%) carried positive stress-event labels.</w:t>
      </w:r>
    </w:p>
    <w:p>
      <w:pPr>
        <w:spacing w:after="80" w:before="160" w:line="360" w:lineRule="auto"/>
      </w:pPr>
      <w:r>
        <w:rPr>
          <w:rFonts w:ascii="Times New Roman" w:hAnsi="Times New Roman"/>
          <w:b/>
          <w:i w:val="0"/>
          <w:sz w:val="24"/>
        </w:rPr>
        <w:t>3.2 Climate Precursor Features</w:t>
      </w:r>
    </w:p>
    <w:p>
      <w:pPr>
        <w:spacing w:after="80" w:before="0" w:line="360" w:lineRule="auto"/>
      </w:pPr>
      <w:r>
        <w:rPr>
          <w:rFonts w:ascii="Times New Roman" w:hAnsi="Times New Roman"/>
          <w:b w:val="0"/>
          <w:i w:val="0"/>
          <w:sz w:val="24"/>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80" w:before="0" w:line="360" w:lineRule="auto"/>
      </w:pPr>
      <w:r>
        <w:rPr>
          <w:rFonts w:ascii="Times New Roman" w:hAnsi="Times New Roman"/>
          <w:b w:val="0"/>
          <w:i w:val="0"/>
          <w:sz w:val="24"/>
        </w:rPr>
        <w:t>Anomalies were computed relative to each pixel's training-period climatology estimated from 2000–2018 and shifted to lead times of 16, 32, 48, and 64 days, producing 20 lagged anomaly features. All features were aligned to vegetation observations without using future information relative to each observation row.</w:t>
      </w:r>
    </w:p>
    <w:p>
      <w:pPr>
        <w:spacing w:after="80" w:before="160" w:line="360" w:lineRule="auto"/>
      </w:pPr>
      <w:r>
        <w:rPr>
          <w:rFonts w:ascii="Times New Roman" w:hAnsi="Times New Roman"/>
          <w:b/>
          <w:i w:val="0"/>
          <w:sz w:val="24"/>
        </w:rPr>
        <w:t>3.3 Discovery of Precursor Signals</w:t>
      </w:r>
    </w:p>
    <w:p>
      <w:pPr>
        <w:spacing w:after="80" w:before="0" w:line="360" w:lineRule="auto"/>
      </w:pPr>
      <w:r>
        <w:rPr>
          <w:rFonts w:ascii="Times New Roman" w:hAnsi="Times New Roman"/>
          <w:b w:val="0"/>
          <w:i w:val="0"/>
          <w:sz w:val="24"/>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80" w:before="0" w:line="360" w:lineRule="auto"/>
      </w:pPr>
      <w:r>
        <w:rPr>
          <w:rFonts w:ascii="Times New Roman" w:hAnsi="Times New Roman"/>
          <w:b w:val="0"/>
          <w:i w:val="0"/>
          <w:sz w:val="24"/>
        </w:rPr>
        <w:t>The predictive signal decayed monotonically with increasing lead time: soil-moisture correlation dropped from 0.210 at 16 days to 0.169 at 64 days, and VPD correlation dropped from 0.163 at 32 days to 0.144 at 64 days.</w:t>
      </w:r>
    </w:p>
    <w:p>
      <w:pPr>
        <w:spacing w:after="80" w:before="0" w:line="360" w:lineRule="auto"/>
      </w:pPr>
      <w:r>
        <w:rPr>
          <w:rFonts w:ascii="Times New Roman" w:hAnsi="Times New Roman"/>
          <w:b w:val="0"/>
          <w:i w:val="0"/>
          <w:sz w:val="24"/>
        </w:rPr>
        <w:t>Stress-event windows were characterised by soil-moisture anomalies approximately 0.03 units below climatology and VPD anomalies approximately 0.30 kPa above climatology relative to non-stress windows.</w:t>
      </w:r>
    </w:p>
    <w:p>
      <w:pPr>
        <w:spacing w:after="80" w:before="160" w:line="360" w:lineRule="auto"/>
      </w:pPr>
      <w:r>
        <w:rPr>
          <w:rFonts w:ascii="Times New Roman" w:hAnsi="Times New Roman"/>
          <w:b/>
          <w:i w:val="0"/>
          <w:sz w:val="24"/>
        </w:rPr>
        <w:t>3.4 Predictive Validation against Baselines</w:t>
      </w:r>
    </w:p>
    <w:p>
      <w:pPr>
        <w:spacing w:after="80" w:before="0" w:line="360" w:lineRule="auto"/>
      </w:pPr>
      <w:r>
        <w:rPr>
          <w:rFonts w:ascii="Times New Roman" w:hAnsi="Times New Roman"/>
          <w:b w:val="0"/>
          <w:i w:val="0"/>
          <w:sz w:val="24"/>
        </w:rPr>
        <w:t>We evaluated the discovered precursor signals against a suite of baselines on a temporal holdout comprising the most recent 20% of years (Figure 4).</w:t>
      </w:r>
    </w:p>
    <w:p>
      <w:pPr>
        <w:spacing w:after="80" w:before="0" w:line="360" w:lineRule="auto"/>
      </w:pPr>
      <w:r>
        <w:rPr>
          <w:rFonts w:ascii="Times New Roman" w:hAnsi="Times New Roman"/>
          <w:b w:val="0"/>
          <w:i w:val="0"/>
          <w:sz w:val="24"/>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80" w:before="0" w:line="360" w:lineRule="auto"/>
      </w:pPr>
      <w:r>
        <w:rPr>
          <w:rFonts w:ascii="Times New Roman" w:hAnsi="Times New Roman"/>
          <w:b w:val="0"/>
          <w:i w:val="0"/>
          <w:sz w:val="24"/>
        </w:rPr>
        <w:t>The majority-class baseline (always predict non-stress) achieved accuracy of 0.962, reflecting a stress-event prevalence of approximately 3.8% in the holdout set (lower than the full-period prevalence of 6.9% reported in Section 3.1).</w:t>
      </w:r>
    </w:p>
    <w:p>
      <w:pPr>
        <w:spacing w:after="80" w:before="0" w:line="360" w:lineRule="auto"/>
      </w:pPr>
      <w:r>
        <w:rPr>
          <w:rFonts w:ascii="Times New Roman" w:hAnsi="Times New Roman"/>
          <w:b w:val="0"/>
          <w:i w:val="0"/>
          <w:sz w:val="24"/>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80" w:before="0" w:line="360" w:lineRule="auto"/>
      </w:pPr>
      <w:r>
        <w:rPr>
          <w:rFonts w:ascii="Times New Roman" w:hAnsi="Times New Roman"/>
          <w:b w:val="0"/>
          <w:i w:val="0"/>
          <w:sz w:val="24"/>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80" w:before="0" w:line="360" w:lineRule="auto"/>
      </w:pPr>
      <w:r>
        <w:rPr>
          <w:rFonts w:ascii="Times New Roman" w:hAnsi="Times New Roman"/>
          <w:b w:val="0"/>
          <w:i w:val="0"/>
          <w:sz w:val="24"/>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80" w:before="160" w:line="360" w:lineRule="auto"/>
      </w:pPr>
      <w:r>
        <w:rPr>
          <w:rFonts w:ascii="Times New Roman" w:hAnsi="Times New Roman"/>
          <w:b/>
          <w:i w:val="0"/>
          <w:sz w:val="24"/>
        </w:rPr>
        <w:t>3.5 Spatial Transfer and Robustness</w:t>
      </w:r>
    </w:p>
    <w:p>
      <w:pPr>
        <w:spacing w:after="80" w:before="0" w:line="360" w:lineRule="auto"/>
      </w:pPr>
      <w:r>
        <w:rPr>
          <w:rFonts w:ascii="Times New Roman" w:hAnsi="Times New Roman"/>
          <w:b w:val="0"/>
          <w:i w:val="0"/>
          <w:sz w:val="24"/>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80" w:before="0" w:line="360" w:lineRule="auto"/>
      </w:pPr>
      <w:r>
        <w:rPr>
          <w:rFonts w:ascii="Times New Roman" w:hAnsi="Times New Roman"/>
          <w:b w:val="0"/>
          <w:i w:val="0"/>
          <w:sz w:val="24"/>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80" w:before="0" w:line="360" w:lineRule="auto"/>
      </w:pPr>
      <w:r>
        <w:rPr>
          <w:rFonts w:ascii="Times New Roman" w:hAnsi="Times New Roman"/>
          <w:b w:val="0"/>
          <w:i w:val="0"/>
          <w:sz w:val="24"/>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80" w:before="160" w:line="360" w:lineRule="auto"/>
      </w:pPr>
      <w:r>
        <w:rPr>
          <w:rFonts w:ascii="Times New Roman" w:hAnsi="Times New Roman"/>
          <w:b/>
          <w:i w:val="0"/>
          <w:sz w:val="24"/>
        </w:rPr>
        <w:t>3.6 Machine-Learning Model Comparison</w:t>
      </w:r>
    </w:p>
    <w:p>
      <w:pPr>
        <w:spacing w:after="80" w:before="0" w:line="360" w:lineRule="auto"/>
      </w:pPr>
      <w:r>
        <w:rPr>
          <w:rFonts w:ascii="Times New Roman" w:hAnsi="Times New Roman"/>
          <w:b w:val="0"/>
          <w:i w:val="0"/>
          <w:sz w:val="24"/>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80" w:before="0" w:line="360" w:lineRule="auto"/>
      </w:pPr>
      <w:r>
        <w:rPr>
          <w:rFonts w:ascii="Times New Roman" w:hAnsi="Times New Roman"/>
          <w:b w:val="0"/>
          <w:i w:val="0"/>
          <w:sz w:val="24"/>
        </w:rPr>
        <w:t>Models were evaluated on the 2,005,080-row temporal holdout set (2019–2025). The persistence baseline and the best single-variable threshold (VPD at 16-day lag) are included for comparison (Table 1).</w:t>
      </w:r>
    </w:p>
    <w:p>
      <w:pPr>
        <w:spacing w:after="80" w:before="120" w:line="240" w:lineRule="auto"/>
      </w:pPr>
      <w:r>
        <w:rPr>
          <w:rFonts w:ascii="Times New Roman" w:hAnsi="Times New Roman"/>
          <w:b/>
          <w:i/>
          <w:sz w:val="18"/>
        </w:rPr>
        <w:t>Table 1. Performance of ML models versus baseline predictors on the temporal holdout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40"/>
              <w:jc w:val="left"/>
            </w:pPr>
            <w:r>
              <w:rPr>
                <w:rFonts w:ascii="Times New Roman" w:hAnsi="Times New Roman"/>
                <w:b/>
                <w:sz w:val="18"/>
              </w:rPr>
              <w:t>Model</w:t>
            </w:r>
          </w:p>
        </w:tc>
        <w:tc>
          <w:tcPr>
            <w:tcW w:type="dxa" w:w="1512"/>
          </w:tcPr>
          <w:p>
            <w:pPr>
              <w:spacing w:after="40"/>
              <w:jc w:val="center"/>
            </w:pPr>
            <w:r>
              <w:rPr>
                <w:rFonts w:ascii="Times New Roman" w:hAnsi="Times New Roman"/>
                <w:b/>
                <w:sz w:val="18"/>
              </w:rPr>
              <w:t>Precision</w:t>
            </w:r>
          </w:p>
        </w:tc>
        <w:tc>
          <w:tcPr>
            <w:tcW w:type="dxa" w:w="1512"/>
          </w:tcPr>
          <w:p>
            <w:pPr>
              <w:spacing w:after="40"/>
              <w:jc w:val="center"/>
            </w:pPr>
            <w:r>
              <w:rPr>
                <w:rFonts w:ascii="Times New Roman" w:hAnsi="Times New Roman"/>
                <w:b/>
                <w:sz w:val="18"/>
              </w:rPr>
              <w:t>Recall</w:t>
            </w:r>
          </w:p>
        </w:tc>
        <w:tc>
          <w:tcPr>
            <w:tcW w:type="dxa" w:w="1512"/>
          </w:tcPr>
          <w:p>
            <w:pPr>
              <w:spacing w:after="40"/>
              <w:jc w:val="center"/>
            </w:pPr>
            <w:r>
              <w:rPr>
                <w:rFonts w:ascii="Times New Roman" w:hAnsi="Times New Roman"/>
                <w:b/>
                <w:sz w:val="18"/>
              </w:rPr>
              <w:t>F1</w:t>
            </w:r>
          </w:p>
        </w:tc>
        <w:tc>
          <w:tcPr>
            <w:tcW w:type="dxa" w:w="1512"/>
          </w:tcPr>
          <w:p>
            <w:pPr>
              <w:spacing w:after="40"/>
              <w:jc w:val="center"/>
            </w:pPr>
            <w:r>
              <w:rPr>
                <w:rFonts w:ascii="Times New Roman" w:hAnsi="Times New Roman"/>
                <w:b/>
                <w:sz w:val="18"/>
              </w:rPr>
              <w:t>FAR</w:t>
            </w:r>
          </w:p>
        </w:tc>
        <w:tc>
          <w:tcPr>
            <w:tcW w:type="dxa" w:w="1512"/>
          </w:tcPr>
          <w:p>
            <w:pPr>
              <w:spacing w:after="40"/>
              <w:jc w:val="center"/>
            </w:pPr>
            <w:r>
              <w:rPr>
                <w:rFonts w:ascii="Times New Roman" w:hAnsi="Times New Roman"/>
                <w:b/>
                <w:sz w:val="18"/>
              </w:rPr>
              <w:t>Skill Score</w:t>
            </w:r>
          </w:p>
        </w:tc>
      </w:tr>
      <w:tr>
        <w:tc>
          <w:tcPr>
            <w:tcW w:type="dxa" w:w="1512"/>
          </w:tcPr>
          <w:p>
            <w:pPr>
              <w:spacing w:after="40"/>
              <w:jc w:val="left"/>
            </w:pPr>
            <w:r>
              <w:rPr>
                <w:rFonts w:ascii="Times New Roman" w:hAnsi="Times New Roman"/>
                <w:sz w:val="18"/>
              </w:rPr>
              <w:t>VPD 16d (single-variable threshold)</w:t>
            </w:r>
          </w:p>
        </w:tc>
        <w:tc>
          <w:tcPr>
            <w:tcW w:type="dxa" w:w="1512"/>
          </w:tcPr>
          <w:p>
            <w:pPr>
              <w:spacing w:after="40"/>
              <w:jc w:val="center"/>
            </w:pPr>
            <w:r>
              <w:rPr>
                <w:rFonts w:ascii="Times New Roman" w:hAnsi="Times New Roman"/>
                <w:sz w:val="18"/>
              </w:rPr>
              <w:t>0.055</w:t>
            </w:r>
          </w:p>
        </w:tc>
        <w:tc>
          <w:tcPr>
            <w:tcW w:type="dxa" w:w="1512"/>
          </w:tcPr>
          <w:p>
            <w:pPr>
              <w:spacing w:after="40"/>
              <w:jc w:val="center"/>
            </w:pPr>
            <w:r>
              <w:rPr>
                <w:rFonts w:ascii="Times New Roman" w:hAnsi="Times New Roman"/>
                <w:sz w:val="18"/>
              </w:rPr>
              <w:t>0.609</w:t>
            </w:r>
          </w:p>
        </w:tc>
        <w:tc>
          <w:tcPr>
            <w:tcW w:type="dxa" w:w="1512"/>
          </w:tcPr>
          <w:p>
            <w:pPr>
              <w:spacing w:after="40"/>
              <w:jc w:val="center"/>
            </w:pPr>
            <w:r>
              <w:rPr>
                <w:rFonts w:ascii="Times New Roman" w:hAnsi="Times New Roman"/>
                <w:sz w:val="18"/>
              </w:rPr>
              <w:t>0.102</w:t>
            </w:r>
          </w:p>
        </w:tc>
        <w:tc>
          <w:tcPr>
            <w:tcW w:type="dxa" w:w="1512"/>
          </w:tcPr>
          <w:p>
            <w:pPr>
              <w:spacing w:after="40"/>
              <w:jc w:val="center"/>
            </w:pPr>
            <w:r>
              <w:rPr>
                <w:rFonts w:ascii="Times New Roman" w:hAnsi="Times New Roman"/>
                <w:sz w:val="18"/>
              </w:rPr>
              <w:t>0.945</w:t>
            </w:r>
          </w:p>
        </w:tc>
        <w:tc>
          <w:tcPr>
            <w:tcW w:type="dxa" w:w="1512"/>
          </w:tcPr>
          <w:p>
            <w:pPr>
              <w:spacing w:after="40"/>
              <w:jc w:val="center"/>
            </w:pPr>
            <w:r>
              <w:rPr>
                <w:rFonts w:ascii="Times New Roman" w:hAnsi="Times New Roman"/>
                <w:sz w:val="18"/>
              </w:rPr>
              <w:t>0.102</w:t>
            </w:r>
          </w:p>
        </w:tc>
      </w:tr>
      <w:tr>
        <w:tc>
          <w:tcPr>
            <w:tcW w:type="dxa" w:w="1512"/>
          </w:tcPr>
          <w:p>
            <w:pPr>
              <w:spacing w:after="40"/>
              <w:jc w:val="left"/>
            </w:pPr>
            <w:r>
              <w:rPr>
                <w:rFonts w:ascii="Times New Roman" w:hAnsi="Times New Roman"/>
                <w:sz w:val="18"/>
              </w:rPr>
              <w:t>Persistence (previous event)</w:t>
            </w:r>
          </w:p>
        </w:tc>
        <w:tc>
          <w:tcPr>
            <w:tcW w:type="dxa" w:w="1512"/>
          </w:tcPr>
          <w:p>
            <w:pPr>
              <w:spacing w:after="40"/>
              <w:jc w:val="center"/>
            </w:pPr>
            <w:r>
              <w:rPr>
                <w:rFonts w:ascii="Times New Roman" w:hAnsi="Times New Roman"/>
                <w:sz w:val="18"/>
              </w:rPr>
              <w:t>0.659</w:t>
            </w:r>
          </w:p>
        </w:tc>
        <w:tc>
          <w:tcPr>
            <w:tcW w:type="dxa" w:w="1512"/>
          </w:tcPr>
          <w:p>
            <w:pPr>
              <w:spacing w:after="40"/>
              <w:jc w:val="center"/>
            </w:pPr>
            <w:r>
              <w:rPr>
                <w:rFonts w:ascii="Times New Roman" w:hAnsi="Times New Roman"/>
                <w:sz w:val="18"/>
              </w:rPr>
              <w:t>0.661</w:t>
            </w:r>
          </w:p>
        </w:tc>
        <w:tc>
          <w:tcPr>
            <w:tcW w:type="dxa" w:w="1512"/>
          </w:tcPr>
          <w:p>
            <w:pPr>
              <w:spacing w:after="40"/>
              <w:jc w:val="center"/>
            </w:pPr>
            <w:r>
              <w:rPr>
                <w:rFonts w:ascii="Times New Roman" w:hAnsi="Times New Roman"/>
                <w:sz w:val="18"/>
              </w:rPr>
              <w:t>0.660</w:t>
            </w:r>
          </w:p>
        </w:tc>
        <w:tc>
          <w:tcPr>
            <w:tcW w:type="dxa" w:w="1512"/>
          </w:tcPr>
          <w:p>
            <w:pPr>
              <w:spacing w:after="40"/>
              <w:jc w:val="center"/>
            </w:pPr>
            <w:r>
              <w:rPr>
                <w:rFonts w:ascii="Times New Roman" w:hAnsi="Times New Roman"/>
                <w:sz w:val="18"/>
              </w:rPr>
              <w:t>0.341</w:t>
            </w:r>
          </w:p>
        </w:tc>
        <w:tc>
          <w:tcPr>
            <w:tcW w:type="dxa" w:w="1512"/>
          </w:tcPr>
          <w:p>
            <w:pPr>
              <w:spacing w:after="40"/>
              <w:jc w:val="center"/>
            </w:pPr>
            <w:r>
              <w:rPr>
                <w:rFonts w:ascii="Times New Roman" w:hAnsi="Times New Roman"/>
                <w:sz w:val="18"/>
              </w:rPr>
              <w:t>0.660</w:t>
            </w:r>
          </w:p>
        </w:tc>
      </w:tr>
      <w:tr>
        <w:tc>
          <w:tcPr>
            <w:tcW w:type="dxa" w:w="1512"/>
          </w:tcPr>
          <w:p>
            <w:pPr>
              <w:spacing w:after="40"/>
              <w:jc w:val="left"/>
            </w:pPr>
            <w:r>
              <w:rPr>
                <w:rFonts w:ascii="Times New Roman" w:hAnsi="Times New Roman"/>
                <w:sz w:val="18"/>
              </w:rPr>
              <w:t>Random Forest (100 trees)</w:t>
            </w:r>
          </w:p>
        </w:tc>
        <w:tc>
          <w:tcPr>
            <w:tcW w:type="dxa" w:w="1512"/>
          </w:tcPr>
          <w:p>
            <w:pPr>
              <w:spacing w:after="40"/>
              <w:jc w:val="center"/>
            </w:pPr>
            <w:r>
              <w:rPr>
                <w:rFonts w:ascii="Times New Roman" w:hAnsi="Times New Roman"/>
                <w:sz w:val="18"/>
              </w:rPr>
              <w:t>0.185</w:t>
            </w:r>
          </w:p>
        </w:tc>
        <w:tc>
          <w:tcPr>
            <w:tcW w:type="dxa" w:w="1512"/>
          </w:tcPr>
          <w:p>
            <w:pPr>
              <w:spacing w:after="40"/>
              <w:jc w:val="center"/>
            </w:pPr>
            <w:r>
              <w:rPr>
                <w:rFonts w:ascii="Times New Roman" w:hAnsi="Times New Roman"/>
                <w:sz w:val="18"/>
              </w:rPr>
              <w:t>0.797</w:t>
            </w:r>
          </w:p>
        </w:tc>
        <w:tc>
          <w:tcPr>
            <w:tcW w:type="dxa" w:w="1512"/>
          </w:tcPr>
          <w:p>
            <w:pPr>
              <w:spacing w:after="40"/>
              <w:jc w:val="center"/>
            </w:pPr>
            <w:r>
              <w:rPr>
                <w:rFonts w:ascii="Times New Roman" w:hAnsi="Times New Roman"/>
                <w:sz w:val="18"/>
              </w:rPr>
              <w:t>0.300</w:t>
            </w:r>
          </w:p>
        </w:tc>
        <w:tc>
          <w:tcPr>
            <w:tcW w:type="dxa" w:w="1512"/>
          </w:tcPr>
          <w:p>
            <w:pPr>
              <w:spacing w:after="40"/>
              <w:jc w:val="center"/>
            </w:pPr>
            <w:r>
              <w:rPr>
                <w:rFonts w:ascii="Times New Roman" w:hAnsi="Times New Roman"/>
                <w:sz w:val="18"/>
              </w:rPr>
              <w:t>0.815</w:t>
            </w:r>
          </w:p>
        </w:tc>
        <w:tc>
          <w:tcPr>
            <w:tcW w:type="dxa" w:w="1512"/>
          </w:tcPr>
          <w:p>
            <w:pPr>
              <w:spacing w:after="40"/>
              <w:jc w:val="center"/>
            </w:pPr>
            <w:r>
              <w:rPr>
                <w:rFonts w:ascii="Times New Roman" w:hAnsi="Times New Roman"/>
                <w:sz w:val="18"/>
              </w:rPr>
              <w:t>0.300</w:t>
            </w:r>
          </w:p>
        </w:tc>
      </w:tr>
      <w:tr>
        <w:tc>
          <w:tcPr>
            <w:tcW w:type="dxa" w:w="1512"/>
          </w:tcPr>
          <w:p>
            <w:pPr>
              <w:spacing w:after="40"/>
              <w:jc w:val="left"/>
            </w:pPr>
            <w:r>
              <w:rPr>
                <w:rFonts w:ascii="Times New Roman" w:hAnsi="Times New Roman"/>
                <w:sz w:val="18"/>
              </w:rPr>
              <w:t>XGBoost (100 trees)</w:t>
            </w:r>
          </w:p>
        </w:tc>
        <w:tc>
          <w:tcPr>
            <w:tcW w:type="dxa" w:w="1512"/>
          </w:tcPr>
          <w:p>
            <w:pPr>
              <w:spacing w:after="40"/>
              <w:jc w:val="center"/>
            </w:pPr>
            <w:r>
              <w:rPr>
                <w:rFonts w:ascii="Times New Roman" w:hAnsi="Times New Roman"/>
                <w:sz w:val="18"/>
              </w:rPr>
              <w:t>0.191</w:t>
            </w:r>
          </w:p>
        </w:tc>
        <w:tc>
          <w:tcPr>
            <w:tcW w:type="dxa" w:w="1512"/>
          </w:tcPr>
          <w:p>
            <w:pPr>
              <w:spacing w:after="40"/>
              <w:jc w:val="center"/>
            </w:pPr>
            <w:r>
              <w:rPr>
                <w:rFonts w:ascii="Times New Roman" w:hAnsi="Times New Roman"/>
                <w:sz w:val="18"/>
              </w:rPr>
              <w:t>0.791</w:t>
            </w:r>
          </w:p>
        </w:tc>
        <w:tc>
          <w:tcPr>
            <w:tcW w:type="dxa" w:w="1512"/>
          </w:tcPr>
          <w:p>
            <w:pPr>
              <w:spacing w:after="40"/>
              <w:jc w:val="center"/>
            </w:pPr>
            <w:r>
              <w:rPr>
                <w:rFonts w:ascii="Times New Roman" w:hAnsi="Times New Roman"/>
                <w:sz w:val="18"/>
              </w:rPr>
              <w:t>0.308</w:t>
            </w:r>
          </w:p>
        </w:tc>
        <w:tc>
          <w:tcPr>
            <w:tcW w:type="dxa" w:w="1512"/>
          </w:tcPr>
          <w:p>
            <w:pPr>
              <w:spacing w:after="40"/>
              <w:jc w:val="center"/>
            </w:pPr>
            <w:r>
              <w:rPr>
                <w:rFonts w:ascii="Times New Roman" w:hAnsi="Times New Roman"/>
                <w:sz w:val="18"/>
              </w:rPr>
              <w:t>0.809</w:t>
            </w:r>
          </w:p>
        </w:tc>
        <w:tc>
          <w:tcPr>
            <w:tcW w:type="dxa" w:w="1512"/>
          </w:tcPr>
          <w:p>
            <w:pPr>
              <w:spacing w:after="40"/>
              <w:jc w:val="center"/>
            </w:pPr>
            <w:r>
              <w:rPr>
                <w:rFonts w:ascii="Times New Roman" w:hAnsi="Times New Roman"/>
                <w:sz w:val="18"/>
              </w:rPr>
              <w:t>0.308</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Both ML models substantially improved recall relative to the best single-variable threshold (from 0.609 to ~0.79), detecting approximately 80% of vegetation-stress events. Precision improved by a factor of 3.4 (from 0.055 to ~0.19), and the false-alarm ratio decreased from 0.945 to ~0.81.</w:t>
      </w:r>
    </w:p>
    <w:p>
      <w:pPr>
        <w:spacing w:after="80" w:before="0" w:line="360" w:lineRule="auto"/>
      </w:pPr>
      <w:r>
        <w:rPr>
          <w:rFonts w:ascii="Times New Roman" w:hAnsi="Times New Roman"/>
          <w:b w:val="0"/>
          <w:i w:val="0"/>
          <w:sz w:val="24"/>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80" w:before="0" w:line="360" w:lineRule="auto"/>
      </w:pPr>
      <w:r>
        <w:rPr>
          <w:rFonts w:ascii="Times New Roman" w:hAnsi="Times New Roman"/>
          <w:b w:val="0"/>
          <w:i w:val="0"/>
          <w:sz w:val="24"/>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80" w:before="0" w:line="360" w:lineRule="auto"/>
      </w:pPr>
      <w:r>
        <w:rPr>
          <w:rFonts w:ascii="Times New Roman" w:hAnsi="Times New Roman"/>
          <w:b w:val="0"/>
          <w:i w:val="0"/>
          <w:sz w:val="24"/>
        </w:rPr>
        <w:t>Vapour-pressure-deficit anomaly at 16-day lag ranked fifth (0.153), confirming that soil-moisture deficits are the most informative features for the ML model, consistent with the point-biserial correlation ranking.</w:t>
      </w:r>
    </w:p>
    <w:p>
      <w:pPr>
        <w:spacing w:after="80" w:before="160" w:line="360" w:lineRule="auto"/>
      </w:pPr>
      <w:r>
        <w:rPr>
          <w:rFonts w:ascii="Times New Roman" w:hAnsi="Times New Roman"/>
          <w:b/>
          <w:i w:val="0"/>
          <w:sz w:val="24"/>
        </w:rPr>
        <w:t>3.7 Latitude-Zone Stratification</w:t>
      </w:r>
    </w:p>
    <w:p>
      <w:pPr>
        <w:spacing w:after="80" w:before="0" w:line="360" w:lineRule="auto"/>
      </w:pPr>
      <w:r>
        <w:rPr>
          <w:rFonts w:ascii="Times New Roman" w:hAnsi="Times New Roman"/>
          <w:b w:val="0"/>
          <w:i w:val="0"/>
          <w:sz w:val="24"/>
        </w:rPr>
        <w:t>To evaluate whether predictive performance varies across climate zones, we stratified the holdout set into three latitude bands corresponding to broad climatic regions of Australia: North (tropical, ~10–20°S), Central (subtropical, ~20–30°S), and South (temperate, ~30–40°S). Separate XGBoost models were trained and evaluated for each zone (Table 2).</w:t>
      </w:r>
    </w:p>
    <w:p>
      <w:pPr>
        <w:spacing w:after="80" w:before="120" w:line="240" w:lineRule="auto"/>
      </w:pPr>
      <w:r>
        <w:rPr>
          <w:rFonts w:ascii="Times New Roman" w:hAnsi="Times New Roman"/>
          <w:b/>
          <w:i/>
          <w:sz w:val="18"/>
        </w:rPr>
        <w:t>Table 2. XGBoost performance by latitude zone on the temporal holdout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40"/>
              <w:jc w:val="left"/>
            </w:pPr>
            <w:r>
              <w:rPr>
                <w:rFonts w:ascii="Times New Roman" w:hAnsi="Times New Roman"/>
                <w:b/>
                <w:sz w:val="18"/>
              </w:rPr>
              <w:t>Zone</w:t>
            </w:r>
          </w:p>
        </w:tc>
        <w:tc>
          <w:tcPr>
            <w:tcW w:type="dxa" w:w="1512"/>
          </w:tcPr>
          <w:p>
            <w:pPr>
              <w:spacing w:after="40"/>
              <w:jc w:val="center"/>
            </w:pPr>
            <w:r>
              <w:rPr>
                <w:rFonts w:ascii="Times New Roman" w:hAnsi="Times New Roman"/>
                <w:b/>
                <w:sz w:val="18"/>
              </w:rPr>
              <w:t>Samples</w:t>
            </w:r>
          </w:p>
        </w:tc>
        <w:tc>
          <w:tcPr>
            <w:tcW w:type="dxa" w:w="1512"/>
          </w:tcPr>
          <w:p>
            <w:pPr>
              <w:spacing w:after="40"/>
              <w:jc w:val="center"/>
            </w:pPr>
            <w:r>
              <w:rPr>
                <w:rFonts w:ascii="Times New Roman" w:hAnsi="Times New Roman"/>
                <w:b/>
                <w:sz w:val="18"/>
              </w:rPr>
              <w:t>Stress Rate</w:t>
            </w:r>
          </w:p>
        </w:tc>
        <w:tc>
          <w:tcPr>
            <w:tcW w:type="dxa" w:w="1512"/>
          </w:tcPr>
          <w:p>
            <w:pPr>
              <w:spacing w:after="40"/>
              <w:jc w:val="center"/>
            </w:pPr>
            <w:r>
              <w:rPr>
                <w:rFonts w:ascii="Times New Roman" w:hAnsi="Times New Roman"/>
                <w:b/>
                <w:sz w:val="18"/>
              </w:rPr>
              <w:t>Precision</w:t>
            </w:r>
          </w:p>
        </w:tc>
        <w:tc>
          <w:tcPr>
            <w:tcW w:type="dxa" w:w="1512"/>
          </w:tcPr>
          <w:p>
            <w:pPr>
              <w:spacing w:after="40"/>
              <w:jc w:val="center"/>
            </w:pPr>
            <w:r>
              <w:rPr>
                <w:rFonts w:ascii="Times New Roman" w:hAnsi="Times New Roman"/>
                <w:b/>
                <w:sz w:val="18"/>
              </w:rPr>
              <w:t>Recall</w:t>
            </w:r>
          </w:p>
        </w:tc>
        <w:tc>
          <w:tcPr>
            <w:tcW w:type="dxa" w:w="1512"/>
          </w:tcPr>
          <w:p>
            <w:pPr>
              <w:spacing w:after="40"/>
              <w:jc w:val="center"/>
            </w:pPr>
            <w:r>
              <w:rPr>
                <w:rFonts w:ascii="Times New Roman" w:hAnsi="Times New Roman"/>
                <w:b/>
                <w:sz w:val="18"/>
              </w:rPr>
              <w:t>FAR</w:t>
            </w:r>
          </w:p>
        </w:tc>
      </w:tr>
      <w:tr>
        <w:tc>
          <w:tcPr>
            <w:tcW w:type="dxa" w:w="1512"/>
          </w:tcPr>
          <w:p>
            <w:pPr>
              <w:spacing w:after="40"/>
              <w:jc w:val="left"/>
            </w:pPr>
            <w:r>
              <w:rPr>
                <w:rFonts w:ascii="Times New Roman" w:hAnsi="Times New Roman"/>
                <w:sz w:val="18"/>
              </w:rPr>
              <w:t>North (~10–20°S, tropical)</w:t>
            </w:r>
          </w:p>
        </w:tc>
        <w:tc>
          <w:tcPr>
            <w:tcW w:type="dxa" w:w="1512"/>
          </w:tcPr>
          <w:p>
            <w:pPr>
              <w:spacing w:after="40"/>
              <w:jc w:val="center"/>
            </w:pPr>
            <w:r>
              <w:rPr>
                <w:rFonts w:ascii="Times New Roman" w:hAnsi="Times New Roman"/>
                <w:sz w:val="18"/>
              </w:rPr>
              <w:t>445,842</w:t>
            </w:r>
          </w:p>
        </w:tc>
        <w:tc>
          <w:tcPr>
            <w:tcW w:type="dxa" w:w="1512"/>
          </w:tcPr>
          <w:p>
            <w:pPr>
              <w:spacing w:after="40"/>
              <w:jc w:val="center"/>
            </w:pPr>
            <w:r>
              <w:rPr>
                <w:rFonts w:ascii="Times New Roman" w:hAnsi="Times New Roman"/>
                <w:sz w:val="18"/>
              </w:rPr>
              <w:t>6.3%</w:t>
            </w:r>
          </w:p>
        </w:tc>
        <w:tc>
          <w:tcPr>
            <w:tcW w:type="dxa" w:w="1512"/>
          </w:tcPr>
          <w:p>
            <w:pPr>
              <w:spacing w:after="40"/>
              <w:jc w:val="center"/>
            </w:pPr>
            <w:r>
              <w:rPr>
                <w:rFonts w:ascii="Times New Roman" w:hAnsi="Times New Roman"/>
                <w:sz w:val="18"/>
              </w:rPr>
              <w:t>0.180</w:t>
            </w:r>
          </w:p>
        </w:tc>
        <w:tc>
          <w:tcPr>
            <w:tcW w:type="dxa" w:w="1512"/>
          </w:tcPr>
          <w:p>
            <w:pPr>
              <w:spacing w:after="40"/>
              <w:jc w:val="center"/>
            </w:pPr>
            <w:r>
              <w:rPr>
                <w:rFonts w:ascii="Times New Roman" w:hAnsi="Times New Roman"/>
                <w:sz w:val="18"/>
              </w:rPr>
              <w:t>0.864</w:t>
            </w:r>
          </w:p>
        </w:tc>
        <w:tc>
          <w:tcPr>
            <w:tcW w:type="dxa" w:w="1512"/>
          </w:tcPr>
          <w:p>
            <w:pPr>
              <w:spacing w:after="40"/>
              <w:jc w:val="center"/>
            </w:pPr>
            <w:r>
              <w:rPr>
                <w:rFonts w:ascii="Times New Roman" w:hAnsi="Times New Roman"/>
                <w:sz w:val="18"/>
              </w:rPr>
              <w:t>0.820</w:t>
            </w:r>
          </w:p>
        </w:tc>
      </w:tr>
      <w:tr>
        <w:tc>
          <w:tcPr>
            <w:tcW w:type="dxa" w:w="1512"/>
          </w:tcPr>
          <w:p>
            <w:pPr>
              <w:spacing w:after="40"/>
              <w:jc w:val="left"/>
            </w:pPr>
            <w:r>
              <w:rPr>
                <w:rFonts w:ascii="Times New Roman" w:hAnsi="Times New Roman"/>
                <w:sz w:val="18"/>
              </w:rPr>
              <w:t>Central (~20–30°S, subtropical)</w:t>
            </w:r>
          </w:p>
        </w:tc>
        <w:tc>
          <w:tcPr>
            <w:tcW w:type="dxa" w:w="1512"/>
          </w:tcPr>
          <w:p>
            <w:pPr>
              <w:spacing w:after="40"/>
              <w:jc w:val="center"/>
            </w:pPr>
            <w:r>
              <w:rPr>
                <w:rFonts w:ascii="Times New Roman" w:hAnsi="Times New Roman"/>
                <w:sz w:val="18"/>
              </w:rPr>
              <w:t>1,064,850</w:t>
            </w:r>
          </w:p>
        </w:tc>
        <w:tc>
          <w:tcPr>
            <w:tcW w:type="dxa" w:w="1512"/>
          </w:tcPr>
          <w:p>
            <w:pPr>
              <w:spacing w:after="40"/>
              <w:jc w:val="center"/>
            </w:pPr>
            <w:r>
              <w:rPr>
                <w:rFonts w:ascii="Times New Roman" w:hAnsi="Times New Roman"/>
                <w:sz w:val="18"/>
              </w:rPr>
              <w:t>8.6%</w:t>
            </w:r>
          </w:p>
        </w:tc>
        <w:tc>
          <w:tcPr>
            <w:tcW w:type="dxa" w:w="1512"/>
          </w:tcPr>
          <w:p>
            <w:pPr>
              <w:spacing w:after="40"/>
              <w:jc w:val="center"/>
            </w:pPr>
            <w:r>
              <w:rPr>
                <w:rFonts w:ascii="Times New Roman" w:hAnsi="Times New Roman"/>
                <w:sz w:val="18"/>
              </w:rPr>
              <w:t>0.199</w:t>
            </w:r>
          </w:p>
        </w:tc>
        <w:tc>
          <w:tcPr>
            <w:tcW w:type="dxa" w:w="1512"/>
          </w:tcPr>
          <w:p>
            <w:pPr>
              <w:spacing w:after="40"/>
              <w:jc w:val="center"/>
            </w:pPr>
            <w:r>
              <w:rPr>
                <w:rFonts w:ascii="Times New Roman" w:hAnsi="Times New Roman"/>
                <w:sz w:val="18"/>
              </w:rPr>
              <w:t>0.797</w:t>
            </w:r>
          </w:p>
        </w:tc>
        <w:tc>
          <w:tcPr>
            <w:tcW w:type="dxa" w:w="1512"/>
          </w:tcPr>
          <w:p>
            <w:pPr>
              <w:spacing w:after="40"/>
              <w:jc w:val="center"/>
            </w:pPr>
            <w:r>
              <w:rPr>
                <w:rFonts w:ascii="Times New Roman" w:hAnsi="Times New Roman"/>
                <w:sz w:val="18"/>
              </w:rPr>
              <w:t>0.801</w:t>
            </w:r>
          </w:p>
        </w:tc>
      </w:tr>
      <w:tr>
        <w:tc>
          <w:tcPr>
            <w:tcW w:type="dxa" w:w="1512"/>
          </w:tcPr>
          <w:p>
            <w:pPr>
              <w:spacing w:after="40"/>
              <w:jc w:val="left"/>
            </w:pPr>
            <w:r>
              <w:rPr>
                <w:rFonts w:ascii="Times New Roman" w:hAnsi="Times New Roman"/>
                <w:sz w:val="18"/>
              </w:rPr>
              <w:t>South (~30–40°S, temperate)</w:t>
            </w:r>
          </w:p>
        </w:tc>
        <w:tc>
          <w:tcPr>
            <w:tcW w:type="dxa" w:w="1512"/>
          </w:tcPr>
          <w:p>
            <w:pPr>
              <w:spacing w:after="40"/>
              <w:jc w:val="center"/>
            </w:pPr>
            <w:r>
              <w:rPr>
                <w:rFonts w:ascii="Times New Roman" w:hAnsi="Times New Roman"/>
                <w:sz w:val="18"/>
              </w:rPr>
              <w:t>494,388</w:t>
            </w:r>
          </w:p>
        </w:tc>
        <w:tc>
          <w:tcPr>
            <w:tcW w:type="dxa" w:w="1512"/>
          </w:tcPr>
          <w:p>
            <w:pPr>
              <w:spacing w:after="40"/>
              <w:jc w:val="center"/>
            </w:pPr>
            <w:r>
              <w:rPr>
                <w:rFonts w:ascii="Times New Roman" w:hAnsi="Times New Roman"/>
                <w:sz w:val="18"/>
              </w:rPr>
              <w:t>6.2%</w:t>
            </w:r>
          </w:p>
        </w:tc>
        <w:tc>
          <w:tcPr>
            <w:tcW w:type="dxa" w:w="1512"/>
          </w:tcPr>
          <w:p>
            <w:pPr>
              <w:spacing w:after="40"/>
              <w:jc w:val="center"/>
            </w:pPr>
            <w:r>
              <w:rPr>
                <w:rFonts w:ascii="Times New Roman" w:hAnsi="Times New Roman"/>
                <w:sz w:val="18"/>
              </w:rPr>
              <w:t>0.181</w:t>
            </w:r>
          </w:p>
        </w:tc>
        <w:tc>
          <w:tcPr>
            <w:tcW w:type="dxa" w:w="1512"/>
          </w:tcPr>
          <w:p>
            <w:pPr>
              <w:spacing w:after="40"/>
              <w:jc w:val="center"/>
            </w:pPr>
            <w:r>
              <w:rPr>
                <w:rFonts w:ascii="Times New Roman" w:hAnsi="Times New Roman"/>
                <w:sz w:val="18"/>
              </w:rPr>
              <w:t>0.682</w:t>
            </w:r>
          </w:p>
        </w:tc>
        <w:tc>
          <w:tcPr>
            <w:tcW w:type="dxa" w:w="1512"/>
          </w:tcPr>
          <w:p>
            <w:pPr>
              <w:spacing w:after="40"/>
              <w:jc w:val="center"/>
            </w:pPr>
            <w:r>
              <w:rPr>
                <w:rFonts w:ascii="Times New Roman" w:hAnsi="Times New Roman"/>
                <w:sz w:val="18"/>
              </w:rPr>
              <w:t>0.819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The central subtropical zone—which encompasses much of Australia's arid and semi-arid interior—exhibited the highest precision (0.199) and lowest false-alarm ratio (0.801), consistent with stronger climate–vegetation coupling in water-limited ecosystems.</w:t>
      </w:r>
    </w:p>
    <w:p>
      <w:pPr>
        <w:spacing w:after="80" w:before="0" w:line="360" w:lineRule="auto"/>
      </w:pPr>
      <w:r>
        <w:rPr>
          <w:rFonts w:ascii="Times New Roman" w:hAnsi="Times New Roman"/>
          <w:b w:val="0"/>
          <w:i w:val="0"/>
          <w:sz w:val="24"/>
        </w:rPr>
        <w:t>The northern tropical zone achieved the highest recall (0.864) but with lower precision, suggesting that climate stress signals are widespread but less specific in tropical savanna regions.</w:t>
      </w:r>
    </w:p>
    <w:p>
      <w:pPr>
        <w:spacing w:after="80" w:before="0" w:line="360" w:lineRule="auto"/>
      </w:pPr>
      <w:r>
        <w:rPr>
          <w:rFonts w:ascii="Times New Roman" w:hAnsi="Times New Roman"/>
          <w:b w:val="0"/>
          <w:i w:val="0"/>
          <w:sz w:val="24"/>
        </w:rPr>
        <w:t>The southern temperate zone showed the lowest recall (0.682), indicating that vegetation stress in cooler, energy-limited systems may be driven by non-climatic factors (e.g., frost, fire) to a greater extent than in water-limited regions.</w:t>
      </w:r>
    </w:p>
    <w:p>
      <w:pPr>
        <w:spacing w:after="80" w:before="160" w:line="360" w:lineRule="auto"/>
      </w:pPr>
      <w:r>
        <w:rPr>
          <w:rFonts w:ascii="Times New Roman" w:hAnsi="Times New Roman"/>
          <w:b/>
          <w:i w:val="0"/>
          <w:sz w:val="24"/>
        </w:rPr>
        <w:t>4. Discussion</w:t>
      </w:r>
    </w:p>
    <w:p>
      <w:pPr>
        <w:spacing w:after="80" w:before="0" w:line="360" w:lineRule="auto"/>
      </w:pPr>
      <w:r>
        <w:rPr>
          <w:rFonts w:ascii="Times New Roman" w:hAnsi="Times New Roman"/>
          <w:b w:val="0"/>
          <w:i w:val="0"/>
          <w:sz w:val="24"/>
        </w:rPr>
        <w:t>This study demonstrates how an ecological informatics workflow can reveal both the utility and the limitations of climate-only precursors for vegetation-stress early warning at continental scale.</w:t>
      </w:r>
    </w:p>
    <w:p>
      <w:pPr>
        <w:spacing w:after="80" w:before="0" w:line="360" w:lineRule="auto"/>
      </w:pPr>
      <w:r>
        <w:rPr>
          <w:rFonts w:ascii="Times New Roman" w:hAnsi="Times New Roman"/>
          <w:b w:val="0"/>
          <w:i w:val="0"/>
          <w:sz w:val="24"/>
        </w:rPr>
        <w:t>The core contribution is not the finding that VPD or soil moisture precede vegetation stress—which is ecologically expected [12,13]—but rather the provision of a reproducible, multi-source, shared-grid computational framework that enables systematic discovery, validation, and interpretation of precursor signals while rigorously quantifying the false-alarm costs of climate-only prediction.</w:t>
      </w:r>
    </w:p>
    <w:p>
      <w:pPr>
        <w:spacing w:after="80" w:before="0" w:line="360" w:lineRule="auto"/>
      </w:pPr>
      <w:r>
        <w:rPr>
          <w:rFonts w:ascii="Times New Roman" w:hAnsi="Times New Roman"/>
          <w:b w:val="0"/>
          <w:i w:val="0"/>
          <w:sz w:val="24"/>
        </w:rPr>
        <w:t>The core contribution is the provision of a reproducible, multi-source, shared-grid computational framework for discovering, validating, and interpreting precursor signals from satellite vegetation records and reanalysis data on a unified spatial grid.</w:t>
      </w:r>
    </w:p>
    <w:p>
      <w:pPr>
        <w:spacing w:after="80" w:before="0" w:line="360" w:lineRule="auto"/>
      </w:pPr>
      <w:r>
        <w:rPr>
          <w:rFonts w:ascii="Times New Roman" w:hAnsi="Times New Roman"/>
          <w:b w:val="0"/>
          <w:i w:val="0"/>
          <w:sz w:val="24"/>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80" w:before="0" w:line="360" w:lineRule="auto"/>
      </w:pPr>
      <w:r>
        <w:rPr>
          <w:rFonts w:ascii="Times New Roman" w:hAnsi="Times New Roman"/>
          <w:b w:val="0"/>
          <w:i w:val="0"/>
          <w:sz w:val="24"/>
        </w:rPr>
        <w:t>Three findings carry particular implications for satellite-based vegetation stress early warning.</w:t>
      </w:r>
    </w:p>
    <w:p>
      <w:pPr>
        <w:spacing w:after="80" w:before="0" w:line="360" w:lineRule="auto"/>
      </w:pPr>
      <w:r>
        <w:rPr>
          <w:rFonts w:ascii="Times New Roman" w:hAnsi="Times New Roman"/>
          <w:b w:val="0"/>
          <w:i w:val="0"/>
          <w:sz w:val="24"/>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80" w:before="0" w:line="360" w:lineRule="auto"/>
      </w:pPr>
      <w:r>
        <w:rPr>
          <w:rFonts w:ascii="Times New Roman" w:hAnsi="Times New Roman"/>
          <w:b w:val="0"/>
          <w:i w:val="0"/>
          <w:sz w:val="24"/>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80" w:before="0" w:line="360" w:lineRule="auto"/>
      </w:pPr>
      <w:r>
        <w:rPr>
          <w:rFonts w:ascii="Times New Roman" w:hAnsi="Times New Roman"/>
          <w:b w:val="0"/>
          <w:i w:val="0"/>
          <w:sz w:val="24"/>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80" w:before="0" w:line="360" w:lineRule="auto"/>
      </w:pPr>
      <w:r>
        <w:rPr>
          <w:rFonts w:ascii="Times New Roman" w:hAnsi="Times New Roman"/>
          <w:b w:val="0"/>
          <w:i w:val="0"/>
          <w:sz w:val="24"/>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80" w:before="0" w:line="360" w:lineRule="auto"/>
      </w:pPr>
      <w:r>
        <w:rPr>
          <w:rFonts w:ascii="Times New Roman" w:hAnsi="Times New Roman"/>
          <w:b w:val="0"/>
          <w:i w:val="0"/>
          <w:sz w:val="24"/>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80" w:before="0" w:line="360" w:lineRule="auto"/>
      </w:pPr>
      <w:r>
        <w:rPr>
          <w:rFonts w:ascii="Times New Roman" w:hAnsi="Times New Roman"/>
          <w:b w:val="0"/>
          <w:i w:val="0"/>
          <w:sz w:val="24"/>
        </w:rPr>
        <w:t>Several limitations should be acknowledged. Our analysis is restricted to the Australian continent, where semi-arid ecosystems dominate and climate–vegetation coupling may be stronger than in energy-limited or disturbance-dominated biomes.</w:t>
      </w:r>
    </w:p>
    <w:p>
      <w:pPr>
        <w:spacing w:after="80" w:before="0" w:line="360" w:lineRule="auto"/>
      </w:pPr>
      <w:r>
        <w:rPr>
          <w:rFonts w:ascii="Times New Roman" w:hAnsi="Times New Roman"/>
          <w:b w:val="0"/>
          <w:i w:val="0"/>
          <w:sz w:val="24"/>
        </w:rPr>
        <w:t>Quality filtering of MODIS observations removes cloudy, smoky, and aerosol-contaminated periods, which systematically excludes observations during active fire seasons and monsoon periods when vegetation stress may be most acute.</w:t>
      </w:r>
    </w:p>
    <w:p>
      <w:pPr>
        <w:spacing w:after="80" w:before="0" w:line="360" w:lineRule="auto"/>
      </w:pPr>
      <w:r>
        <w:rPr>
          <w:rFonts w:ascii="Times New Roman" w:hAnsi="Times New Roman"/>
          <w:b w:val="0"/>
          <w:i w:val="0"/>
          <w:sz w:val="24"/>
        </w:rPr>
        <w:t>Our stress-event definition relies on a fixed EVI anomaly percentile; alternative definitions based on absolute EVI thresholds, cumulative-deficit approaches, or multi-sensor composites may yield different event catalogues.</w:t>
      </w:r>
    </w:p>
    <w:p>
      <w:pPr>
        <w:spacing w:after="80" w:before="0" w:line="360" w:lineRule="auto"/>
      </w:pPr>
      <w:r>
        <w:rPr>
          <w:rFonts w:ascii="Times New Roman" w:hAnsi="Times New Roman"/>
          <w:b w:val="0"/>
          <w:i w:val="0"/>
          <w:sz w:val="24"/>
        </w:rPr>
        <w:t>Latitude-zone stratification is a coarse proxy for climate regime; future work should incorporate aridity indices, MODIS land-cover classes (MCD12Q1), and plant functional type information for ecologically informed stratification.</w:t>
      </w:r>
    </w:p>
    <w:p>
      <w:pPr>
        <w:spacing w:after="80" w:before="0" w:line="360" w:lineRule="auto"/>
      </w:pPr>
      <w:r>
        <w:rPr>
          <w:rFonts w:ascii="Times New Roman" w:hAnsi="Times New Roman"/>
          <w:b w:val="0"/>
          <w:i w:val="0"/>
          <w:sz w:val="24"/>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80" w:before="0" w:line="360" w:lineRule="auto"/>
      </w:pPr>
      <w:r>
        <w:rPr>
          <w:rFonts w:ascii="Times New Roman" w:hAnsi="Times New Roman"/>
          <w:b w:val="0"/>
          <w:i w:val="0"/>
          <w:sz w:val="24"/>
        </w:rPr>
        <w:t>By requiring that MODIS and ERA5 data share one pixel grid before analysis proceeds, we eliminate a subtle but pervasive source of spatial misalignment that affects large-scale remote-sensing studies.</w:t>
      </w:r>
    </w:p>
    <w:p>
      <w:pPr>
        <w:spacing w:after="80" w:before="0" w:line="360" w:lineRule="auto"/>
      </w:pPr>
      <w:r>
        <w:rPr>
          <w:rFonts w:ascii="Times New Roman" w:hAnsi="Times New Roman"/>
          <w:b w:val="0"/>
          <w:i w:val="0"/>
          <w:sz w:val="24"/>
        </w:rPr>
        <w:t>The full analysis pipeline—from GEE data export through quality filtering, anomaly computation, feature construction, baseline comparison, validation, and figure generation—is version-controlled and archived with a permanent DOI.</w:t>
      </w:r>
    </w:p>
    <w:p>
      <w:pPr>
        <w:spacing w:after="80" w:before="0" w:line="360" w:lineRule="auto"/>
      </w:pPr>
      <w:r>
        <w:rPr>
          <w:rFonts w:ascii="Times New Roman" w:hAnsi="Times New Roman"/>
          <w:b w:val="0"/>
          <w:i w:val="0"/>
          <w:sz w:val="24"/>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80" w:before="0" w:line="360" w:lineRule="auto"/>
      </w:pPr>
      <w:r>
        <w:rPr>
          <w:rFonts w:ascii="Times New Roman" w:hAnsi="Times New Roman"/>
          <w:b w:val="0"/>
          <w:i w:val="0"/>
          <w:sz w:val="24"/>
        </w:rPr>
        <w:t>This finding refocuses attention toward integrating vegetation-memory, land-cover, and ecological-context information as necessary complements to climate-based precursors.</w:t>
      </w:r>
    </w:p>
    <w:p>
      <w:pPr>
        <w:spacing w:after="80" w:before="160" w:line="360" w:lineRule="auto"/>
      </w:pPr>
      <w:r>
        <w:rPr>
          <w:rFonts w:ascii="Times New Roman" w:hAnsi="Times New Roman"/>
          <w:b/>
          <w:i w:val="0"/>
          <w:sz w:val="24"/>
        </w:rPr>
        <w:t>5. Conclusions</w:t>
      </w:r>
    </w:p>
    <w:p>
      <w:pPr>
        <w:spacing w:after="80" w:before="0" w:line="360" w:lineRule="auto"/>
      </w:pPr>
      <w:r>
        <w:rPr>
          <w:rFonts w:ascii="Times New Roman" w:hAnsi="Times New Roman"/>
          <w:b w:val="0"/>
          <w:i w:val="0"/>
          <w:sz w:val="24"/>
        </w:rPr>
        <w:t>This study presents a reproducible ecological informatics framework for discovering and validating lagged climate precursors of satellite-observed vegetation stress. Using 26 years of MODIS EVI anomalies and ERA5-Land climate reanalysis on a unified 0.25-degree grid, we demonstrate that soil-moisture deficit and VPD excess at 16–32 day lead times are the dominant precursor signals.</w:t>
      </w:r>
    </w:p>
    <w:p>
      <w:pPr>
        <w:spacing w:after="80" w:before="0" w:line="360" w:lineRule="auto"/>
      </w:pPr>
      <w:r>
        <w:rPr>
          <w:rFonts w:ascii="Times New Roman" w:hAnsi="Times New Roman"/>
          <w:b w:val="0"/>
          <w:i w:val="0"/>
          <w:sz w:val="24"/>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80" w:before="0" w:line="360" w:lineRule="auto"/>
      </w:pPr>
      <w:r>
        <w:rPr>
          <w:rFonts w:ascii="Times New Roman" w:hAnsi="Times New Roman"/>
          <w:b w:val="0"/>
          <w:i w:val="0"/>
          <w:sz w:val="24"/>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80" w:before="0" w:line="360" w:lineRule="auto"/>
      </w:pPr>
      <w:r>
        <w:rPr>
          <w:rFonts w:ascii="Times New Roman" w:hAnsi="Times New Roman"/>
          <w:b w:val="0"/>
          <w:i w:val="0"/>
          <w:sz w:val="24"/>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80" w:before="0" w:line="360" w:lineRule="auto"/>
      </w:pPr>
      <w:r>
        <w:rPr>
          <w:rFonts w:ascii="Times New Roman" w:hAnsi="Times New Roman"/>
          <w:b w:val="0"/>
          <w:i w:val="0"/>
          <w:sz w:val="24"/>
        </w:rPr>
        <w:t>The shared-grid methodology and publicly archived analysis pipeline provide a transferable template for extending this framework to other regions, biomes, and satellite data products.</w:t>
      </w:r>
    </w:p>
    <w:p>
      <w:pPr>
        <w:spacing w:after="80" w:before="160" w:line="360" w:lineRule="auto"/>
      </w:pPr>
      <w:r>
        <w:rPr>
          <w:rFonts w:ascii="Times New Roman" w:hAnsi="Times New Roman"/>
          <w:b/>
          <w:i w:val="0"/>
          <w:sz w:val="24"/>
        </w:rPr>
        <w:t>Conflicts of Interest</w:t>
      </w:r>
    </w:p>
    <w:p>
      <w:pPr>
        <w:spacing w:after="80" w:before="0" w:line="360" w:lineRule="auto"/>
      </w:pPr>
      <w:r>
        <w:rPr>
          <w:rFonts w:ascii="Times New Roman" w:hAnsi="Times New Roman"/>
          <w:b w:val="0"/>
          <w:i w:val="0"/>
          <w:sz w:val="24"/>
        </w:rPr>
        <w:t>The author declares no conflicts of interest. Manuscript prepared for submission to Ecological Informatics (Elsevier). 2026-06-08.</w:t>
      </w:r>
    </w:p>
    <w:p>
      <w:pPr>
        <w:spacing w:after="40" w:before="0" w:line="360" w:lineRule="auto"/>
      </w:pPr>
      <w:r>
        <w:rPr>
          <w:rFonts w:ascii="Times New Roman" w:hAnsi="Times New Roman"/>
          <w:b/>
          <w:i w:val="0"/>
          <w:sz w:val="20"/>
        </w:rPr>
        <w:t>Abstract:</w:t>
      </w:r>
    </w:p>
    <w:p>
      <w:pPr>
        <w:spacing w:after="160" w:before="0" w:line="312" w:lineRule="auto"/>
      </w:pPr>
      <w:r>
        <w:rPr>
          <w:rFonts w:ascii="Times New Roman" w:hAnsi="Times New Roman"/>
          <w:b w:val="0"/>
          <w:i/>
          <w:sz w:val="20"/>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Ecological informatics; MODIS; ERA5-Land; vegetation stress; climate precursor; machine learning; SHAP; reproducible workflow; Google Earth Engine</w:t>
      </w:r>
    </w:p>
    <w:p>
      <w:pPr>
        <w:spacing w:after="80" w:before="120" w:line="360" w:lineRule="auto"/>
      </w:pPr>
      <w:r>
        <w:rPr>
          <w:rFonts w:ascii="Times New Roman" w:hAnsi="Times New Roman"/>
          <w:b/>
          <w:i w:val="0"/>
          <w:sz w:val="22"/>
        </w:rPr>
        <w:t>Author Contributions</w:t>
      </w:r>
    </w:p>
    <w:p>
      <w:pPr>
        <w:spacing w:after="40" w:before="0" w:line="360" w:lineRule="auto"/>
      </w:pPr>
      <w:r>
        <w:rPr>
          <w:rFonts w:ascii="Times New Roman" w:hAnsi="Times New Roman"/>
          <w:b w:val="0"/>
          <w:i w:val="0"/>
          <w:sz w:val="20"/>
        </w:rPr>
        <w:t>Conceptualization, methodology, software, formal analysis, data curation, writing—original draft preparation, writing—review and editing: Z.W. The author has read and agreed to the published version of the manuscript.</w:t>
      </w:r>
    </w:p>
    <w:p>
      <w:pPr>
        <w:spacing w:after="80" w:before="120" w:line="360" w:lineRule="auto"/>
      </w:pPr>
      <w:r>
        <w:rPr>
          <w:rFonts w:ascii="Times New Roman" w:hAnsi="Times New Roman"/>
          <w:b/>
          <w:i w:val="0"/>
          <w:sz w:val="22"/>
        </w:rPr>
        <w:t>Funding</w:t>
      </w:r>
    </w:p>
    <w:p>
      <w:pPr>
        <w:spacing w:after="40" w:before="0" w:line="360" w:lineRule="auto"/>
      </w:pPr>
      <w:r>
        <w:rPr>
          <w:rFonts w:ascii="Times New Roman" w:hAnsi="Times New Roman"/>
          <w:b w:val="0"/>
          <w:i w:val="0"/>
          <w:sz w:val="20"/>
        </w:rPr>
        <w:t>This research received no external funding.</w:t>
      </w:r>
    </w:p>
    <w:p>
      <w:pPr>
        <w:spacing w:after="80" w:before="120" w:line="360" w:lineRule="auto"/>
      </w:pPr>
      <w:r>
        <w:rPr>
          <w:rFonts w:ascii="Times New Roman" w:hAnsi="Times New Roman"/>
          <w:b/>
          <w:i w:val="0"/>
          <w:sz w:val="22"/>
        </w:rPr>
        <w:t>Data Availability Statement</w:t>
      </w:r>
    </w:p>
    <w:p>
      <w:pPr>
        <w:spacing w:after="40" w:before="0" w:line="360" w:lineRule="auto"/>
      </w:pPr>
      <w:r>
        <w:rPr>
          <w:rFonts w:ascii="Times New Roman" w:hAnsi="Times New Roman"/>
          <w:b w:val="0"/>
          <w:i w:val="0"/>
          <w:sz w:val="20"/>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80" w:before="120" w:line="360" w:lineRule="auto"/>
      </w:pPr>
      <w:r>
        <w:rPr>
          <w:rFonts w:ascii="Times New Roman" w:hAnsi="Times New Roman"/>
          <w:b/>
          <w:i w:val="0"/>
          <w:sz w:val="22"/>
        </w:rPr>
        <w:t>Supplementary Materials</w:t>
      </w:r>
    </w:p>
    <w:p>
      <w:pPr>
        <w:spacing w:after="40" w:before="0" w:line="360" w:lineRule="auto"/>
      </w:pPr>
      <w:r>
        <w:rPr>
          <w:rFonts w:ascii="Times New Roman" w:hAnsi="Times New Roman"/>
          <w:b w:val="0"/>
          <w:i w:val="0"/>
          <w:sz w:val="20"/>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2"/>
        </w:rPr>
        <w:t>References</w:t>
      </w:r>
    </w:p>
    <w:p>
      <w:pPr>
        <w:spacing w:after="40" w:before="0" w:line="360" w:lineRule="auto"/>
      </w:pPr>
      <w:r>
        <w:rPr>
          <w:rFonts w:ascii="Times New Roman" w:hAnsi="Times New Roman"/>
          <w:b w:val="0"/>
          <w:i w:val="0"/>
          <w:sz w:val="18"/>
        </w:rPr>
        <w:t>1. Reichstein, M.; Camps-Valls, G.; Stevens, B.; Jung, M.; Denzler, J.; Carvalhais, N.; Prabhat. Deep learning and process understanding for data-driven Earth system science. Nature 2019, *566*, 195–204. DOI: 10.1038/s41586-019-0912-1.</w:t>
      </w:r>
    </w:p>
    <w:p>
      <w:pPr>
        <w:spacing w:after="40" w:before="0" w:line="360" w:lineRule="auto"/>
      </w:pPr>
      <w:r>
        <w:rPr>
          <w:rFonts w:ascii="Times New Roman" w:hAnsi="Times New Roman"/>
          <w:b w:val="0"/>
          <w:i w:val="0"/>
          <w:sz w:val="18"/>
        </w:rPr>
        <w:t>2. Seneviratne, S.I.; Corti, T.; Davin, E.L.; Hirschi, M.; Jaeger, E.B.; Lehner, I.; Orlowsky, B.; Teuling, A.J. Investigating soil moisture–climate interactions in a changing climate: A review. Earth-Sci. Rev. 2010, *99*, 125–161. DOI: 10.1016/j.earscirev.2010.02.004.</w:t>
      </w:r>
    </w:p>
    <w:p>
      <w:pPr>
        <w:spacing w:after="40" w:before="0" w:line="360" w:lineRule="auto"/>
      </w:pPr>
      <w:r>
        <w:rPr>
          <w:rFonts w:ascii="Times New Roman" w:hAnsi="Times New Roman"/>
          <w:b w:val="0"/>
          <w:i w:val="0"/>
          <w:sz w:val="18"/>
        </w:rPr>
        <w:t>3. Allen, C.D.; Breshears, D.D.; McDowell, N.G. On underestimation of global vulnerability to tree mortality and forest die-off from hotter drought in the Anthropocene. Ecosphere 2015, *6*, art129. DOI: 10.1890/ES15-00203.1.</w:t>
      </w:r>
    </w:p>
    <w:p>
      <w:pPr>
        <w:spacing w:after="40" w:before="0" w:line="360" w:lineRule="auto"/>
      </w:pPr>
      <w:r>
        <w:rPr>
          <w:rFonts w:ascii="Times New Roman" w:hAnsi="Times New Roman"/>
          <w:b w:val="0"/>
          <w:i w:val="0"/>
          <w:sz w:val="18"/>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40" w:before="0" w:line="360" w:lineRule="auto"/>
      </w:pPr>
      <w:r>
        <w:rPr>
          <w:rFonts w:ascii="Times New Roman" w:hAnsi="Times New Roman"/>
          <w:b w:val="0"/>
          <w:i w:val="0"/>
          <w:sz w:val="18"/>
        </w:rPr>
        <w:t>5. Huete, A.; Didan, K.; Miura, T.; Rodriguez, E.P.; Gao, X.; Ferreira, L.G. Overview of the radiometric and biophysical performance of the MODIS vegetation indices. Remote Sens. Environ. 2002, *83*, 195–213. DOI: 10.1016/S0034-4257(02)00096-2.</w:t>
      </w:r>
    </w:p>
    <w:p>
      <w:pPr>
        <w:spacing w:after="40" w:before="0" w:line="360" w:lineRule="auto"/>
      </w:pPr>
      <w:r>
        <w:rPr>
          <w:rFonts w:ascii="Times New Roman" w:hAnsi="Times New Roman"/>
          <w:b w:val="0"/>
          <w:i w:val="0"/>
          <w:sz w:val="18"/>
        </w:rPr>
        <w:t>6. Didan, K. MOD13Q1 v061: MODIS/Terra Vegetation Indices 16-Day L3 Global 250 m SIN Grid. NASA LP DAAC, 2015. DOI: 10.5067/MODIS/MOD13Q1.061.</w:t>
      </w:r>
    </w:p>
    <w:p>
      <w:pPr>
        <w:spacing w:after="40" w:before="0" w:line="360" w:lineRule="auto"/>
      </w:pPr>
      <w:r>
        <w:rPr>
          <w:rFonts w:ascii="Times New Roman" w:hAnsi="Times New Roman"/>
          <w:b w:val="0"/>
          <w:i w:val="0"/>
          <w:sz w:val="18"/>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40" w:before="0" w:line="360" w:lineRule="auto"/>
      </w:pPr>
      <w:r>
        <w:rPr>
          <w:rFonts w:ascii="Times New Roman" w:hAnsi="Times New Roman"/>
          <w:b w:val="0"/>
          <w:i w:val="0"/>
          <w:sz w:val="18"/>
        </w:rPr>
        <w:t>8. Hao, Z.; Singh, V.P. Drought characterization from a multivariate perspective: A review. J. Hydrol. 2015, *527*, 668–678. DOI: 10.1016/j.jhydrol.2015.05.031.</w:t>
      </w:r>
    </w:p>
    <w:p>
      <w:pPr>
        <w:spacing w:after="40" w:before="0" w:line="360" w:lineRule="auto"/>
      </w:pPr>
      <w:r>
        <w:rPr>
          <w:rFonts w:ascii="Times New Roman" w:hAnsi="Times New Roman"/>
          <w:b w:val="0"/>
          <w:i w:val="0"/>
          <w:sz w:val="18"/>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40" w:before="0" w:line="360" w:lineRule="auto"/>
      </w:pPr>
      <w:r>
        <w:rPr>
          <w:rFonts w:ascii="Times New Roman" w:hAnsi="Times New Roman"/>
          <w:b w:val="0"/>
          <w:i w:val="0"/>
          <w:sz w:val="18"/>
        </w:rPr>
        <w:t>10. Barnes, E.A.; Hurrell, J.W.; Ebert-Uphoff, I.; Anderson, C.; Anderson, D. Indicator patterns of forced change learned by an artificial neural network. J. Adv. Model. Earth Syst. 2020, *12*, e2020MS002165. DOI: 10.1029/2020MS002165.</w:t>
      </w:r>
    </w:p>
    <w:p>
      <w:pPr>
        <w:spacing w:after="40" w:before="0" w:line="360" w:lineRule="auto"/>
      </w:pPr>
      <w:r>
        <w:rPr>
          <w:rFonts w:ascii="Times New Roman" w:hAnsi="Times New Roman"/>
          <w:b w:val="0"/>
          <w:i w:val="0"/>
          <w:sz w:val="18"/>
        </w:rPr>
        <w:t>11. Gorelick, N.; Hancher, M.; Dixon, M.; Ilyushchenko, S.; Thau, D.; Moore, R. Google Earth Engine: Planetary-scale geospatial analysis for everyone. Remote Sens. Environ. 2017, *202*, 18–27. DOI: 10.1016/j.rse.2017.06.031.</w:t>
      </w:r>
    </w:p>
    <w:p>
      <w:pPr>
        <w:spacing w:after="40" w:before="0" w:line="360" w:lineRule="auto"/>
      </w:pPr>
      <w:r>
        <w:rPr>
          <w:rFonts w:ascii="Times New Roman" w:hAnsi="Times New Roman"/>
          <w:b w:val="0"/>
          <w:i w:val="0"/>
          <w:sz w:val="18"/>
        </w:rPr>
        <w:t>12. Grossiord, C.; Buckley, T.N.; Cernusak, L.A.; Novick, K.A.; Poulter, B.; Siegwolf, R.T.W.; Sperry, J.S.; McDowell, N.G. Plant responses to rising vapor pressure deficit. New Phytol. 2020, *226*, 1550–1566. DOI: 10.1111/nph.16485.</w:t>
      </w:r>
    </w:p>
    <w:p>
      <w:pPr>
        <w:spacing w:after="40" w:before="0" w:line="360" w:lineRule="auto"/>
      </w:pPr>
      <w:r>
        <w:rPr>
          <w:rFonts w:ascii="Times New Roman" w:hAnsi="Times New Roman"/>
          <w:b w:val="0"/>
          <w:i w:val="0"/>
          <w:sz w:val="18"/>
        </w:rPr>
        <w:t>13. Zhou, S.; Williams, A.P.; Lintner, B.R.; Berg, A.M.; Gentine, P. Large and persistent soil carbon losses from the 2011 Texas drought. Nat. Geosci. 2019, *12*, 943–949. DOI: 10.1038/s41561-019-0460-1.</w:t>
      </w:r>
    </w:p>
    <w:p>
      <w:pPr>
        <w:spacing w:after="40" w:before="0" w:line="360" w:lineRule="auto"/>
      </w:pPr>
      <w:r>
        <w:rPr>
          <w:rFonts w:ascii="Times New Roman" w:hAnsi="Times New Roman"/>
          <w:b w:val="0"/>
          <w:i w:val="0"/>
          <w:sz w:val="18"/>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40" w:before="0" w:line="360" w:lineRule="auto"/>
      </w:pPr>
      <w:r>
        <w:rPr>
          <w:rFonts w:ascii="Times New Roman" w:hAnsi="Times New Roman"/>
          <w:b w:val="0"/>
          <w:i w:val="0"/>
          <w:sz w:val="8"/>
        </w:rPr>
      </w:r>
    </w:p>
    <w:p>
      <w:pPr>
        <w:spacing w:after="120" w:before="0" w:line="360" w:lineRule="auto"/>
        <w:jc w:val="center"/>
      </w:pPr>
      <w:r>
        <w:rPr>
          <w:rFonts w:ascii="Times New Roman" w:hAnsi="Times New Roman"/>
          <w:b w:val="0"/>
          <w:i/>
          <w:sz w:val="16"/>
        </w:rPr>
        <w:t>Prepared for submission to Ecological Informatics (Elsevier). 2026-06-08.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