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before="120" w:line="264" w:lineRule="auto" w:after="160"/>
        <w:jc w:val="left"/>
        <w:rPr>
          <w:rFonts w:ascii="Arial" w:cs="Arial" w:eastAsia="Arial" w:hAnsi="Arial"/>
          <w:b w:val="1"/>
          <w:bCs w:val="1"/>
          <w:sz w:val="28"/>
          <w:szCs w:val="28"/>
        </w:rPr>
      </w:pPr>
      <w:r w:rsidDel="00000000" w:rsidR="00000000" w:rsidRPr="00000000">
        <w:rPr>
          <w:rFonts w:ascii="Arial" w:cs="Arial" w:eastAsia="Arial" w:hAnsi="Arial"/>
          <w:b/>
          <w:bCs w:val="1"/>
          <w:i w:val="0"/>
          <w:iCs w:val="0"/>
          <w:color w:val="000000"/>
          <w:sz w:val="48"/>
          <w:szCs w:val="22"/>
          <w:u w:val="none"/>
          <w:rtl w:val="0"/>
        </w:rPr>
        <w:t xml:space="preserve">Velocity Curve Activity Part 1: Quadrants II &amp; III Observation &amp; Analysis</w:t>
      </w:r>
      <w:r w:rsidDel="00000000" w:rsidR="00000000" w:rsidRPr="00000000">
        <w:rPr>
          <w:u w:val="none"/>
          <w:rtl w:val="0"/>
          <w:rFonts w:ascii="Arial" w:hAnsi="Arial" w:cs="Arial" w:eastAsia="Arial"/>
          <w:color w:val="000000"/>
          <w:sz w:val="48"/>
          <w:szCs w:val="22"/>
          <w:b/>
          <w:i w:val="0"/>
          <w:iCs w:val="0"/>
        </w:rPr>
      </w:r>
    </w:p>
    <w:p w:rsidR="00000000" w:rsidDel="00000000" w:rsidP="00000000" w:rsidRDefault="00000000" w:rsidRPr="00000000" w14:paraId="00000001">
      <w:pPr>
        <w:pStyle w:val="Subtitle"/>
        <w:spacing w:line="264" w:lineRule="auto" w:after="80"/>
        <w:jc w:val="left"/>
        <w:rPr>
          <w:rFonts w:ascii="Arial" w:cs="Arial" w:eastAsia="Arial" w:hAnsi="Arial"/>
          <w:b w:val="1"/>
          <w:bCs w:val="1"/>
          <w:i w:val="1"/>
          <w:iCs w:val="1"/>
          <w:sz w:val="24"/>
          <w:szCs w:val="24"/>
        </w:rPr>
      </w:pPr>
      <w:r w:rsidDel="00000000" w:rsidR="00000000" w:rsidRPr="00000000">
        <w:rPr>
          <w:rFonts w:ascii="Arial" w:cs="Arial" w:eastAsia="Arial" w:hAnsi="Arial"/>
          <w:b w:val="0"/>
          <w:bCs w:val="1"/>
          <w:i w:val="0"/>
          <w:iCs w:val="0"/>
          <w:sz w:val="22"/>
          <w:szCs w:val="22"/>
          <w:rtl w:val="0"/>
        </w:rPr>
        <w:t xml:space="preserve">Velocity Curve Activity</w:t>
      </w:r>
    </w:p>
    <w:p w:rsidR="00000000" w:rsidDel="00000000" w:rsidP="00000000" w:rsidRDefault="00000000" w:rsidRPr="00000000" w14:paraId="00000003">
      <w:pPr>
        <w:pStyle w:val="Subtitle"/>
        <w:spacing w:before="120" w:line="264" w:lineRule="auto" w:after="80"/>
        <w:jc w:val="left"/>
        <w:rPr>
          <w:rFonts w:ascii="Arial" w:cs="Arial" w:eastAsia="Arial" w:hAnsi="Arial"/>
          <w:i w:val="1"/>
          <w:iCs w:val="1"/>
          <w:sz w:val="28"/>
          <w:szCs w:val="28"/>
        </w:rPr>
      </w:pPr>
      <w:r w:rsidDel="00000000" w:rsidR="00000000" w:rsidRPr="00000000">
        <w:rPr>
          <w:rFonts w:ascii="Arial" w:cs="Arial" w:eastAsia="Arial" w:hAnsi="Arial"/>
          <w:b w:val="0"/>
          <w:i w:val="0"/>
          <w:iCs w:val="0"/>
          <w:color w:val="000000"/>
          <w:sz w:val="22"/>
          <w:szCs w:val="22"/>
          <w:rtl w:val="0"/>
        </w:rPr>
        <w:t xml:space="preserve">TEACHER NOTES</w:t>
      </w:r>
      <w:r w:rsidDel="00000000" w:rsidR="00000000" w:rsidRPr="00000000">
        <w:rPr>
          <w:rtl w:val="0"/>
          <w:rFonts w:ascii="Arial" w:hAnsi="Arial" w:cs="Arial" w:eastAsia="Arial"/>
          <w:color w:val="000000"/>
          <w:sz w:val="22"/>
          <w:szCs w:val="22"/>
          <w:b w:val="0"/>
          <w:i w:val="0"/>
          <w:iCs w:val="0"/>
        </w:rPr>
      </w:r>
    </w:p>
    <w:p w:rsidR="00000000" w:rsidDel="00000000" w:rsidP="00000000" w:rsidRDefault="00000000" w:rsidRPr="00000000" w14:paraId="00000004">
      <w:pPr>
        <w:spacing w:before="360" w:lineRule="auto" w:line="264" w:after="80"/>
        <w:rPr>
          <w:rFonts w:ascii="Arial" w:cs="Arial" w:eastAsia="Arial" w:hAnsi="Arial"/>
          <w:b w:val="1"/>
          <w:bCs w:val="1"/>
        </w:rPr>
      </w:pPr>
      <w:r w:rsidDel="00000000" w:rsidR="00000000" w:rsidRPr="00000000">
        <w:rPr>
          <w:rFonts w:ascii="Arial" w:cs="Arial" w:eastAsia="Arial" w:hAnsi="Arial"/>
          <w:b w:val="1"/>
          <w:bCs w:val="1"/>
          <w:rtl w:val="0"/>
          <w:sz w:val="22"/>
          <w:szCs w:val="22"/>
          <w:i w:val="0"/>
          <w:iCs w:val="0"/>
        </w:rPr>
        <w:t xml:space="preserve">Level:</w:t>
      </w:r>
      <w:r w:rsidDel="00000000" w:rsidR="00000000" w:rsidRPr="00000000">
        <w:rPr>
          <w:rFonts w:ascii="Arial" w:cs="Arial" w:eastAsia="Arial" w:hAnsi="Arial"/>
          <w:i w:val="0"/>
          <w:iCs w:val="0"/>
          <w:rtl w:val="0"/>
          <w:sz w:val="22"/>
          <w:szCs w:val="22"/>
        </w:rPr>
        <w:t xml:space="preserve"> HS Advanced, College</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5">
      <w:pPr>
        <w:spacing w:after="80" w:before="120" w:lineRule="auto" w:line="264"/>
        <w:ind w:left="450" w:hanging="45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Objective:</w:t>
      </w:r>
      <w:r w:rsidDel="00000000" w:rsidR="00000000" w:rsidRPr="00000000">
        <w:rPr>
          <w:rFonts w:ascii="Arial" w:cs="Arial" w:eastAsia="Arial" w:hAnsi="Arial"/>
          <w:i w:val="0"/>
          <w:iCs w:val="0"/>
          <w:rtl w:val="0"/>
          <w:sz w:val="22"/>
          <w:szCs w:val="22"/>
        </w:rPr>
        <w:t xml:space="preserve"> In this activity, the students will take measurements of HI spectra along the galactic plane in the quadrants II and III  to find evidence that the Milky Way Galaxy rotates.</w:t>
      </w:r>
    </w:p>
    <w:p w:rsidR="00000000" w:rsidDel="00000000" w:rsidP="00000000" w:rsidRDefault="00000000" w:rsidRPr="00000000" w14:paraId="00000006">
      <w:pPr>
        <w:keepNext/>
        <w:spacing w:after="80" w:before="120" w:lineRule="auto" w:line="264"/>
        <w:ind w:left="360" w:hanging="36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Pre-Knowledge of Students: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07">
      <w:pPr>
        <w:numPr>
          <w:ilvl w:val="0"/>
          <w:numId w:val="3"/>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students have been exposed to the horn telescope and understand how to read a spectrum. </w:t>
      </w:r>
    </w:p>
    <w:p w:rsidR="00000000" w:rsidDel="00000000" w:rsidP="00000000" w:rsidRDefault="00000000" w:rsidRPr="00000000" w14:paraId="00000008">
      <w:pPr>
        <w:numPr>
          <w:ilvl w:val="0"/>
          <w:numId w:val="3"/>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students understand what radio waves are, and they understand that the spin-flip in hydrogen atoms is the source of the 21-cm waves detected by the horn telescope. </w:t>
      </w:r>
    </w:p>
    <w:p w:rsidR="00000000" w:rsidDel="00000000" w:rsidP="00000000" w:rsidRDefault="00000000" w:rsidRPr="00000000" w14:paraId="00000009">
      <w:pPr>
        <w:numPr>
          <w:ilvl w:val="0"/>
          <w:numId w:val="3"/>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students understand how to apply the Doppler shift to the spectrum peaks in order to find the relative velocity of the detected hydrogen.</w:t>
      </w:r>
    </w:p>
    <w:p w:rsidR="00000000" w:rsidDel="00000000" w:rsidP="00000000" w:rsidRDefault="00000000" w:rsidRPr="00000000" w14:paraId="0000000A">
      <w:pPr>
        <w:numPr>
          <w:ilvl w:val="0"/>
          <w:numId w:val="3"/>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students understand relative velocity.</w:t>
      </w:r>
    </w:p>
    <w:p w:rsidR="00000000" w:rsidDel="00000000" w:rsidP="00000000" w:rsidRDefault="00000000" w:rsidRPr="00000000" w14:paraId="0000000B">
      <w:pPr>
        <w:spacing w:before="120" w:lineRule="auto" w:line="264" w:after="80"/>
        <w:ind w:left="360" w:hanging="36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Key Terms:</w:t>
      </w:r>
      <w:r w:rsidDel="00000000" w:rsidR="00000000" w:rsidRPr="00000000">
        <w:rPr>
          <w:rFonts w:ascii="Arial" w:cs="Arial" w:eastAsia="Arial" w:hAnsi="Arial"/>
          <w:i w:val="0"/>
          <w:iCs w:val="0"/>
          <w:rtl w:val="0"/>
          <w:sz w:val="22"/>
          <w:szCs w:val="22"/>
        </w:rPr>
        <w:t xml:space="preserve"> horn telescope, HI spectrum, galactic coordinates, Horizontal Coordinates, Stellarium, Doppler Shift, red shift, blue shift, relative velocity</w:t>
      </w:r>
    </w:p>
    <w:p w:rsidR="00000000" w:rsidDel="00000000" w:rsidP="00000000" w:rsidRDefault="00000000" w:rsidRPr="00000000" w14:paraId="0000000C">
      <w:pPr>
        <w:spacing w:after="80" w:before="120" w:lineRule="auto" w:line="264"/>
        <w:rPr>
          <w:rFonts w:ascii="Arial" w:cs="Arial" w:eastAsia="Arial" w:hAnsi="Arial"/>
          <w:i w:val="1"/>
          <w:iCs w:val="1"/>
          <w:u w:val="single"/>
        </w:rPr>
      </w:pPr>
      <w:r w:rsidDel="00000000" w:rsidR="00000000" w:rsidRPr="00000000">
        <w:rPr>
          <w:rFonts w:ascii="Arial" w:cs="Arial" w:eastAsia="Arial" w:hAnsi="Arial"/>
          <w:b w:val="1"/>
          <w:bCs w:val="1"/>
          <w:rtl w:val="0"/>
          <w:sz w:val="22"/>
          <w:szCs w:val="22"/>
          <w:i w:val="0"/>
          <w:iCs w:val="0"/>
        </w:rPr>
        <w:t xml:space="preserve">Related Videos for Teacher:</w:t>
      </w:r>
      <w:r w:rsidDel="00000000" w:rsidR="00000000" w:rsidRPr="00000000">
        <w:rPr>
          <w:rFonts w:ascii="Arial" w:cs="Arial" w:eastAsia="Arial" w:hAnsi="Arial"/>
          <w:rtl w:val="0"/>
          <w:sz w:val="22"/>
          <w:szCs w:val="22"/>
          <w:i w:val="0"/>
          <w:iCs w:val="0"/>
        </w:rPr>
        <w:t xml:space="preserve"> “Galaxy Survey Trailer,” (</w:t>
      </w:r>
      <w:hyperlink r:id="rId6">
        <w:r w:rsidDel="00000000" w:rsidR="00000000" w:rsidRPr="00000000">
          <w:rPr>
            <w:rFonts w:ascii="Arial" w:cs="Arial" w:eastAsia="Arial" w:hAnsi="Arial"/>
            <w:color w:val="1155cc"/>
            <w:u w:val="single"/>
            <w:rtl w:val="0"/>
            <w:sz w:val="22"/>
            <w:szCs w:val="22"/>
            <w:i w:val="0"/>
            <w:iCs w:val="0"/>
          </w:rPr>
          <w:t xml:space="preserve">https://youtu.be/tDCPGalaxy Survey Trailerp8RIM4g</w:t>
        </w:r>
      </w:hyperlink>
      <w:r w:rsidDel="00000000" w:rsidR="00000000" w:rsidRPr="00000000">
        <w:rPr>
          <w:rFonts w:ascii="Arial" w:cs="Arial" w:eastAsia="Arial" w:hAnsi="Arial"/>
          <w:rtl w:val="0"/>
          <w:sz w:val="22"/>
          <w:szCs w:val="22"/>
          <w:i w:val="0"/>
          <w:iCs w:val="0"/>
        </w:rPr>
        <w:t xml:space="preserve">)</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D">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Teacher Preparation:</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0E">
      <w:pPr>
        <w:numPr>
          <w:ilvl w:val="0"/>
          <w:numId w:val="1"/>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This activity can be done with a single horn shared with the class, or with multiple horns assigned to groups of students.</w:t>
      </w:r>
    </w:p>
    <w:p w:rsidR="00000000" w:rsidDel="00000000" w:rsidP="00000000" w:rsidRDefault="00000000" w:rsidRPr="00000000" w14:paraId="0000000F">
      <w:pPr>
        <w:numPr>
          <w:ilvl w:val="0"/>
          <w:numId w:val="1"/>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students have used a horn telescope before. It is recommended that the following lessons have been completed:</w:t>
      </w:r>
    </w:p>
    <w:p w:rsidR="00000000" w:rsidDel="00000000" w:rsidP="00000000" w:rsidRDefault="00000000" w:rsidRPr="00000000" w14:paraId="00000010">
      <w:pPr>
        <w:numPr>
          <w:ilvl w:val="1"/>
          <w:numId w:val="1"/>
        </w:numPr>
        <w:spacing w:after="80" w:before="120" w:lineRule="auto" w:line="264"/>
        <w:ind w:left="144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Intro to the Horn Telescope</w:t>
      </w:r>
    </w:p>
    <w:p w:rsidR="00000000" w:rsidDel="00000000" w:rsidP="00000000" w:rsidRDefault="00000000" w:rsidRPr="00000000" w14:paraId="00000011">
      <w:pPr>
        <w:numPr>
          <w:ilvl w:val="1"/>
          <w:numId w:val="1"/>
        </w:numPr>
        <w:spacing w:after="80" w:before="120" w:lineRule="auto" w:line="264"/>
        <w:ind w:left="144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Electromagnetic Spectrum</w:t>
      </w:r>
    </w:p>
    <w:p w:rsidR="00000000" w:rsidDel="00000000" w:rsidP="00000000" w:rsidRDefault="00000000" w:rsidRPr="00000000" w14:paraId="00000012">
      <w:pPr>
        <w:numPr>
          <w:ilvl w:val="1"/>
          <w:numId w:val="1"/>
        </w:numPr>
        <w:spacing w:after="80" w:before="120" w:lineRule="auto" w:line="264"/>
        <w:ind w:left="144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21 cm Wavelength of Neutral Hydrogen</w:t>
      </w:r>
    </w:p>
    <w:p w:rsidR="00000000" w:rsidDel="00000000" w:rsidP="00000000" w:rsidRDefault="00000000" w:rsidRPr="00000000" w14:paraId="00000013">
      <w:pPr>
        <w:numPr>
          <w:ilvl w:val="1"/>
          <w:numId w:val="1"/>
        </w:numPr>
        <w:spacing w:after="80" w:before="120" w:lineRule="auto" w:line="264"/>
        <w:ind w:left="144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Understanding Coordinate Systems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14">
      <w:pPr>
        <w:numPr>
          <w:ilvl w:val="0"/>
          <w:numId w:val="1"/>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teacher should be familiar with the implications of red shifted and blue shifted signals, and understand that the general trend of blue shifted peaks from quadrant II and red shifted peaks from quadrant III imply that the galaxy rotates in a CW sense in reference to standard galactic coordinates. </w:t>
      </w:r>
    </w:p>
    <w:p w:rsidR="00000000" w:rsidDel="00000000" w:rsidP="00000000" w:rsidRDefault="00000000" w:rsidRPr="00000000" w14:paraId="00000015">
      <w:pPr>
        <w:numPr>
          <w:ilvl w:val="0"/>
          <w:numId w:val="1"/>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w:t>
      </w:r>
      <w:r w:rsidDel="00000000" w:rsidR="00000000" w:rsidRPr="00000000">
        <w:rPr>
          <w:rFonts w:ascii="Arial" w:cs="Arial" w:eastAsia="Arial" w:hAnsi="Arial"/>
          <w:rtl w:val="0"/>
          <w:sz w:val="22"/>
          <w:szCs w:val="22"/>
          <w:i w:val="0"/>
          <w:iCs w:val="0"/>
        </w:rPr>
        <w:t xml:space="preserve">“Galaxy Survey Trailer”</w:t>
      </w:r>
      <w:r w:rsidDel="00000000" w:rsidR="00000000" w:rsidRPr="00000000">
        <w:rPr>
          <w:rFonts w:ascii="Arial" w:cs="Arial" w:eastAsia="Arial" w:hAnsi="Arial"/>
          <w:i w:val="0"/>
          <w:iCs w:val="0"/>
          <w:rtl w:val="0"/>
          <w:sz w:val="22"/>
          <w:szCs w:val="22"/>
        </w:rPr>
        <w:t xml:space="preserve"> video </w:t>
      </w:r>
      <w:r w:rsidDel="00000000" w:rsidR="00000000" w:rsidRPr="00000000">
        <w:rPr>
          <w:rFonts w:ascii="Arial" w:cs="Arial" w:eastAsia="Arial" w:hAnsi="Arial"/>
          <w:rtl w:val="0"/>
          <w:sz w:val="22"/>
          <w:szCs w:val="22"/>
          <w:i w:val="0"/>
          <w:iCs w:val="0"/>
        </w:rPr>
        <w:t xml:space="preserve">(</w:t>
      </w:r>
      <w:hyperlink r:id="rId7">
        <w:r w:rsidDel="00000000" w:rsidR="00000000" w:rsidRPr="00000000">
          <w:rPr>
            <w:rFonts w:ascii="Arial" w:cs="Arial" w:eastAsia="Arial" w:hAnsi="Arial"/>
            <w:color w:val="1155cc"/>
            <w:u w:val="single"/>
            <w:rtl w:val="0"/>
            <w:sz w:val="22"/>
            <w:szCs w:val="22"/>
            <w:i w:val="0"/>
            <w:iCs w:val="0"/>
          </w:rPr>
          <w:t xml:space="preserve">https://youtu.be/tDCPp8RIM4g</w:t>
        </w:r>
      </w:hyperlink>
      <w:r w:rsidDel="00000000" w:rsidR="00000000" w:rsidRPr="00000000">
        <w:rPr>
          <w:rFonts w:ascii="Arial" w:cs="Arial" w:eastAsia="Arial" w:hAnsi="Arial"/>
          <w:rtl w:val="0"/>
          <w:sz w:val="22"/>
          <w:szCs w:val="22"/>
          <w:i w:val="0"/>
          <w:iCs w:val="0"/>
        </w:rPr>
        <w:t xml:space="preserve">)</w:t>
      </w:r>
      <w:r w:rsidDel="00000000" w:rsidR="00000000" w:rsidRPr="00000000">
        <w:rPr>
          <w:rFonts w:ascii="Arial" w:cs="Arial" w:eastAsia="Arial" w:hAnsi="Arial"/>
          <w:i w:val="0"/>
          <w:iCs w:val="0"/>
          <w:rtl w:val="0"/>
          <w:sz w:val="22"/>
          <w:szCs w:val="22"/>
        </w:rPr>
        <w:t xml:space="preserve"> illustrates the results of scanning quadrants II &amp; III. If you look at the graphs in that video, you can see the galactic longitudes range from 90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to 240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The vertical red line on the graph is at the unshifted hydrogen frequency of 1420.41 MHz. You can see how the peak positions are red shifted for galactic longitudes from 240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to 180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(quadrant III), and are blue shifted for galactic longitudes from 180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to 90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(quadrant II). This implies that we are moving away from the hydrogen in quadrant III and toward that in quadrant II, which is counterclockwise in the galactic coordinate system. </w:t>
      </w:r>
    </w:p>
    <w:p w:rsidR="00000000" w:rsidDel="00000000" w:rsidP="00000000" w:rsidRDefault="00000000" w:rsidRPr="00000000" w14:paraId="00000017">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Activity Notes: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18">
      <w:pPr>
        <w:numPr>
          <w:ilvl w:val="1"/>
          <w:numId w:val="2"/>
        </w:numPr>
        <w:spacing w:after="80" w:before="12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Break the class into groups of two.</w:t>
      </w:r>
    </w:p>
    <w:p w:rsidR="00000000" w:rsidDel="00000000" w:rsidP="00000000" w:rsidRDefault="00000000" w:rsidRPr="00000000" w14:paraId="00000019">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Assign each pair one or two galactic coordinates from ℓ = 90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to  ℓ = 230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in increments of 10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or 15</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[ℓ is the standard symbol for galactic longitude.]</w:t>
      </w:r>
    </w:p>
    <w:p w:rsidR="00000000" w:rsidDel="00000000" w:rsidP="00000000" w:rsidRDefault="00000000" w:rsidRPr="00000000" w14:paraId="0000001A">
      <w:pPr>
        <w:numPr>
          <w:ilvl w:val="1"/>
          <w:numId w:val="2"/>
        </w:numPr>
        <w:spacing w:after="80" w:before="12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Use Stellarium to find dates when this part of the galactic plane is visible from your observation site.</w:t>
      </w:r>
    </w:p>
    <w:p w:rsidR="00000000" w:rsidDel="00000000" w:rsidP="00000000" w:rsidRDefault="00000000" w:rsidRPr="00000000" w14:paraId="0000001B">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Plan ahead so that you can have the telescope set up and ready when class time begins.</w:t>
      </w:r>
    </w:p>
    <w:p w:rsidR="00000000" w:rsidDel="00000000" w:rsidP="00000000" w:rsidRDefault="00000000" w:rsidRPr="00000000" w14:paraId="0000001C">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Calibration of the telescope is not necessary. The peak positions will be accurate without calibration.</w:t>
      </w:r>
    </w:p>
    <w:p w:rsidR="00000000" w:rsidDel="00000000" w:rsidP="00000000" w:rsidRDefault="00000000" w:rsidRPr="00000000" w14:paraId="0000001D">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An integration time of 10 s should work fine. </w:t>
      </w:r>
    </w:p>
    <w:p w:rsidR="00000000" w:rsidDel="00000000" w:rsidP="00000000" w:rsidRDefault="00000000" w:rsidRPr="00000000" w14:paraId="0000001E">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Capture Current Spectrum button in the spectrometer is used to save each spectrum to the specified folder.</w:t>
      </w:r>
    </w:p>
    <w:p w:rsidR="00000000" w:rsidDel="00000000" w:rsidP="00000000" w:rsidRDefault="00000000" w:rsidRPr="00000000" w14:paraId="0000001F">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Use the azimuth and elevation text boxes on the spectrometer screen to record each group's coordinates. These will show up in the data file names and will make data identification easier after the observation. </w:t>
      </w:r>
    </w:p>
    <w:p w:rsidR="00000000" w:rsidDel="00000000" w:rsidP="00000000" w:rsidRDefault="00000000" w:rsidRPr="00000000" w14:paraId="00000021">
      <w:pPr>
        <w:keepNext/>
        <w:spacing w:before="0" w:lineRule="auto" w:line="264" w:after="8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Data Analysis Notes: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22">
      <w:pPr>
        <w:numPr>
          <w:ilvl w:val="1"/>
          <w:numId w:val="2"/>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If the students scale the frequency range on their graphs from 1419.5 to 1420.5 MHz. Scale with major gridlines at each 0.1 MHz and a minor gridline count of 10 for 0.01 MHz intervals. \</w:t>
      </w:r>
    </w:p>
    <w:p w:rsidR="00000000" w:rsidDel="00000000" w:rsidP="00000000" w:rsidRDefault="00000000" w:rsidRPr="00000000" w14:paraId="00000023">
      <w:pPr>
        <w:numPr>
          <w:ilvl w:val="1"/>
          <w:numId w:val="2"/>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students should be able to read accurate peak positions, to a precision of 0.01 MHz, directly from the graph. </w:t>
      </w:r>
    </w:p>
    <w:p w:rsidR="00000000" w:rsidDel="00000000" w:rsidP="00000000" w:rsidRDefault="00000000" w:rsidRPr="00000000" w14:paraId="00000024">
      <w:pPr>
        <w:numPr>
          <w:ilvl w:val="1"/>
          <w:numId w:val="2"/>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Students use the relative velocity equation to calculate the velocities indicated by their peaks:</w:t>
      </w:r>
    </w:p>
    <w:p w:rsidR="00000000" w:rsidDel="00000000" w:rsidP="00000000" w:rsidRDefault="00000000" w:rsidRPr="00000000" w14:paraId="00000025">
      <w:pPr>
        <w:spacing w:before="120" w:lineRule="auto" w:line="264" w:after="80"/>
        <w:ind w:left="1440" w:firstLine="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v =</w:t>
      </w:r>
      <m:oMath>
        <m:f>
          <m:fPr>
            <m:ctrlPr>
              <w:rPr>
                <w:rFonts w:ascii="Arial" w:cs="Arial" w:eastAsia="Arial" w:hAnsi="Arial"/>
                <w:i w:val="1"/>
                <w:iCs w:val="1"/>
              </w:rPr>
            </m:ctrlPr>
          </m:fPr>
          <m:num>
            <m:r>
              <w:rPr>
                <w:rFonts w:ascii="Arial" w:cs="Arial" w:eastAsia="Arial" w:hAnsi="Arial"/>
                <w:i w:val="1"/>
                <w:iCs w:val="1"/>
              </w:rPr>
              <m:t xml:space="preserve">(</m:t>
            </m:r>
            <m:r>
              <w:rPr>
                <w:rFonts w:ascii="Arial" w:cs="Arial" w:eastAsia="Arial" w:hAnsi="Arial"/>
              </w:rPr>
              <m:t xml:space="preserve">1420.41 MHz - </m:t>
            </m:r>
            <m:r>
              <w:rPr>
                <w:rFonts w:ascii="Arial" w:cs="Arial" w:eastAsia="Arial" w:hAnsi="Arial"/>
                <w:i w:val="1"/>
                <w:iCs w:val="1"/>
              </w:rPr>
              <m:t xml:space="preserve">f</m:t>
            </m:r>
            <m:sSub>
              <m:sSubPr>
                <m:ctrlPr>
                  <w:rPr>
                    <w:rFonts w:ascii="Arial" w:cs="Arial" w:eastAsia="Arial" w:hAnsi="Arial"/>
                    <w:i w:val="1"/>
                    <w:iCs w:val="1"/>
                    <w:vertAlign w:val="subscript"/>
                  </w:rPr>
                </m:ctrlPr>
              </m:sSubPr>
              <m:e/>
              <m:sub>
                <m:r>
                  <w:rPr>
                    <w:rFonts w:ascii="Arial" w:cs="Arial" w:eastAsia="Arial" w:hAnsi="Arial"/>
                    <w:i w:val="1"/>
                    <w:iCs w:val="1"/>
                    <w:vertAlign w:val="subscript"/>
                  </w:rPr>
                  <m:t xml:space="preserve">peak</m:t>
                </m:r>
              </m:sub>
            </m:sSub>
            <m:r>
              <w:rPr>
                <w:rFonts w:ascii="Arial" w:cs="Arial" w:eastAsia="Arial" w:hAnsi="Arial"/>
                <w:i w:val="1"/>
                <w:iCs w:val="1"/>
              </w:rPr>
              <m:t xml:space="preserve">)</m:t>
            </m:r>
          </m:num>
          <m:den>
            <m:r>
              <w:rPr>
                <w:rFonts w:ascii="Arial" w:cs="Arial" w:eastAsia="Arial" w:hAnsi="Arial"/>
                <w:i w:val="1"/>
                <w:iCs w:val="1"/>
              </w:rPr>
              <m:t xml:space="preserve">1420.41 MHz</m:t>
            </m:r>
          </m:den>
        </m:f>
        <m:r>
          <w:rPr>
            <w:rFonts w:ascii="Arial" w:cs="Arial" w:eastAsia="Arial" w:hAnsi="Arial"/>
            <w:i w:val="1"/>
            <w:iCs w:val="1"/>
          </w:rPr>
          <m:t xml:space="preserve"> </m:t>
        </m:r>
        <m:r>
          <w:rPr>
            <w:rFonts w:ascii="Arial" w:cs="Arial" w:eastAsia="Arial" w:hAnsi="Arial"/>
            <w:i w:val="1"/>
            <w:iCs w:val="1"/>
          </w:rPr>
          <m:t>×</m:t>
        </m:r>
        <m:r>
          <w:rPr>
            <w:rFonts w:ascii="Arial" w:cs="Arial" w:eastAsia="Arial" w:hAnsi="Arial"/>
            <w:i w:val="1"/>
            <w:iCs w:val="1"/>
          </w:rPr>
          <m:t xml:space="preserve"> 3.00 </m:t>
        </m:r>
        <m:r>
          <w:rPr>
            <w:rFonts w:ascii="Arial" w:cs="Arial" w:eastAsia="Arial" w:hAnsi="Arial"/>
            <w:i w:val="1"/>
            <w:iCs w:val="1"/>
          </w:rPr>
          <m:t>×</m:t>
        </m:r>
        <m:r>
          <w:rPr>
            <w:rFonts w:ascii="Arial" w:cs="Arial" w:eastAsia="Arial" w:hAnsi="Arial"/>
            <w:i w:val="1"/>
            <w:iCs w:val="1"/>
          </w:rPr>
          <m:t xml:space="preserve"> 1</m:t>
        </m:r>
        <m:sSup>
          <m:sSupPr>
            <m:ctrlPr>
              <w:rPr>
                <w:rFonts w:ascii="Arial" w:cs="Arial" w:eastAsia="Arial" w:hAnsi="Arial"/>
                <w:i w:val="1"/>
                <w:iCs w:val="1"/>
              </w:rPr>
            </m:ctrlPr>
          </m:sSupPr>
          <m:e>
            <m:r>
              <w:rPr>
                <w:rFonts w:ascii="Arial" w:cs="Arial" w:eastAsia="Arial" w:hAnsi="Arial"/>
                <w:i w:val="1"/>
                <w:iCs w:val="1"/>
              </w:rPr>
              <m:t xml:space="preserve">0</m:t>
            </m:r>
          </m:e>
          <m:sup>
            <m:r>
              <w:rPr>
                <w:rFonts w:ascii="Arial" w:cs="Arial" w:eastAsia="Arial" w:hAnsi="Arial"/>
                <w:i w:val="1"/>
                <w:iCs w:val="1"/>
              </w:rPr>
              <m:t xml:space="preserve">5</m:t>
            </m:r>
          </m:sup>
        </m:sSup>
        <m:r>
          <w:rPr>
            <w:rFonts w:ascii="Arial" w:cs="Arial" w:eastAsia="Arial" w:hAnsi="Arial"/>
            <w:i w:val="1"/>
            <w:iCs w:val="1"/>
          </w:rPr>
          <m:t xml:space="preserve"> km/s</m:t>
        </m:r>
      </m:oMath>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6">
      <w:pPr>
        <w:numPr>
          <w:ilvl w:val="1"/>
          <w:numId w:val="2"/>
        </w:numPr>
        <w:spacing w:before="12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Positive velocities are red-shifted, where the object is moving away from us, and blue-shifted velocities are negative.</w:t>
      </w:r>
    </w:p>
    <w:p w:rsidR="00000000" w:rsidDel="00000000" w:rsidP="00000000" w:rsidRDefault="00000000" w:rsidRPr="00000000" w14:paraId="00000027">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Have each student/group share their results with the class in a table similar to the one below.</w:t>
      </w:r>
    </w:p>
    <w:tbl>
      <w:tblPr>
        <w:tblStyle w:val="Table1"/>
        <w:tblW w:w="75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1095"/>
        <w:gridCol w:w="1470"/>
        <w:gridCol w:w="1980"/>
        <w:gridCol w:w="1815"/>
        <w:tblGridChange w:id="0">
          <w:tblGrid>
            <w:gridCol w:w="1155"/>
            <w:gridCol w:w="1095"/>
            <w:gridCol w:w="1470"/>
            <w:gridCol w:w="1980"/>
            <w:gridCol w:w="1815"/>
          </w:tblGrid>
        </w:tblGridChange>
      </w:tblGrid>
      <w:tr>
        <w:trPr>
          <w:cantSplit w:val="1"/>
          <w:trHeight w:val="431.99999999999994" w:hRule="atLeast"/>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0"/>
                <w:iCs w:val="0"/>
                <w:sz w:val="22"/>
                <w:szCs w:val="22"/>
                <w:rtl w:val="0"/>
              </w:rPr>
              <w:t xml:space="preserve">Galactic Longitude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jc w:val="center"/>
              <w:rPr>
                <w:rFonts w:ascii="Arial" w:cs="Arial" w:eastAsia="Arial" w:hAnsi="Arial"/>
                <w:b w:val="1"/>
                <w:bCs w:val="1"/>
                <w:i w:val="1"/>
                <w:iCs w:val="1"/>
                <w:sz w:val="20"/>
                <w:szCs w:val="20"/>
              </w:rPr>
            </w:pP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A">
            <w:pPr>
              <w:widowControl w:val="0"/>
              <w:spacing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0"/>
                <w:iCs w:val="0"/>
                <w:sz w:val="22"/>
                <w:szCs w:val="22"/>
                <w:rtl w:val="0"/>
              </w:rPr>
              <w:t xml:space="preserve">Quadrant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jc w:val="center"/>
              <w:rPr>
                <w:rFonts w:ascii="Arial" w:cs="Arial" w:eastAsia="Arial" w:hAnsi="Arial"/>
                <w:b w:val="1"/>
                <w:bCs w:val="1"/>
                <w:i w:val="1"/>
                <w:iCs w:val="1"/>
                <w:sz w:val="20"/>
                <w:szCs w:val="20"/>
              </w:rPr>
            </w:pP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C">
            <w:pPr>
              <w:widowControl w:val="0"/>
              <w:spacing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0"/>
                <w:iCs w:val="0"/>
                <w:sz w:val="22"/>
                <w:szCs w:val="22"/>
                <w:rtl w:val="0"/>
              </w:rPr>
              <w:t xml:space="preserve">Velocity (km/s)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jc w:val="center"/>
              <w:rPr>
                <w:rFonts w:ascii="Arial" w:cs="Arial" w:eastAsia="Arial" w:hAnsi="Arial"/>
                <w:b w:val="1"/>
                <w:bCs w:val="1"/>
                <w:i w:val="1"/>
                <w:iCs w:val="1"/>
                <w:sz w:val="20"/>
                <w:szCs w:val="20"/>
              </w:rPr>
            </w:pP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E">
            <w:pPr>
              <w:widowControl w:val="0"/>
              <w:spacing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0"/>
                <w:iCs w:val="0"/>
                <w:sz w:val="22"/>
                <w:szCs w:val="22"/>
                <w:rtl w:val="0"/>
              </w:rPr>
              <w:t xml:space="preserve">Uncertainty (km/s)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jc w:val="center"/>
              <w:rPr>
                <w:rFonts w:ascii="Arial" w:cs="Arial" w:eastAsia="Arial" w:hAnsi="Arial"/>
                <w:b w:val="1"/>
                <w:bCs w:val="1"/>
                <w:i w:val="1"/>
                <w:iCs w:val="1"/>
                <w:sz w:val="20"/>
                <w:szCs w:val="20"/>
              </w:rPr>
            </w:pP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0">
            <w:pPr>
              <w:widowControl w:val="0"/>
              <w:spacing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0"/>
                <w:iCs w:val="0"/>
                <w:sz w:val="22"/>
                <w:szCs w:val="22"/>
                <w:rtl w:val="0"/>
              </w:rPr>
              <w:t xml:space="preserve">Red or Blue shift?</w:t>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r>
    </w:tbl>
    <w:p w:rsidR="00000000" w:rsidDel="00000000" w:rsidP="00000000" w:rsidRDefault="00000000" w:rsidRPr="00000000" w14:paraId="0000003B">
      <w:pPr>
        <w:numPr>
          <w:ilvl w:val="1"/>
          <w:numId w:val="2"/>
        </w:numPr>
        <w:spacing w:before="120" w:lineRule="auto" w:line="264" w:after="80"/>
        <w:ind w:left="1080" w:right="-285"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Most of the quadrant II peaks should be blue-shifted, and most of the quadrant III should be red-shifted. This implies that the earth/sun is moving away from quadrant III and toward quadrant II. </w:t>
      </w:r>
    </w:p>
    <w:p w:rsidR="00000000" w:rsidDel="00000000" w:rsidP="00000000" w:rsidRDefault="00000000" w:rsidRPr="00000000" w14:paraId="0000003C">
      <w:pPr>
        <w:numPr>
          <w:ilvl w:val="1"/>
          <w:numId w:val="2"/>
        </w:numPr>
        <w:spacing w:before="120" w:lineRule="auto" w:line="264" w:after="80"/>
        <w:ind w:left="1080" w:hanging="360"/>
        <w:rPr>
          <w:rFonts w:ascii="Arial" w:cs="Arial" w:eastAsia="Arial" w:hAnsi="Arial"/>
          <w:i w:val="1"/>
          <w:iCs w:val="1"/>
          <w:u w:val="none"/>
        </w:rPr>
      </w:pPr>
      <w:r w:rsidDel="00000000" w:rsidR="00000000" w:rsidRPr="00000000">
        <w:rPr>
          <w:rFonts w:ascii="Arial" w:cs="Arial" w:eastAsia="Arial" w:hAnsi="Arial"/>
          <w:b w:val="1"/>
          <w:bCs w:val="1"/>
          <w:i w:val="0"/>
          <w:iCs w:val="0"/>
          <w:rtl w:val="0"/>
          <w:sz w:val="22"/>
          <w:szCs w:val="22"/>
        </w:rPr>
        <w:t xml:space="preserve">Important: </w:t>
      </w:r>
      <w:r w:rsidDel="00000000" w:rsidR="00000000" w:rsidRPr="00000000">
        <w:rPr>
          <w:rFonts w:ascii="Arial" w:cs="Arial" w:eastAsia="Arial" w:hAnsi="Arial"/>
          <w:i w:val="0"/>
          <w:iCs w:val="0"/>
          <w:rtl w:val="0"/>
          <w:sz w:val="22"/>
          <w:szCs w:val="22"/>
        </w:rPr>
        <w:t xml:space="preserve">Depending on the time of year this activity is done, the quadrant II peaks may not all be blue-shifted, and the quadrant III may not all be red-shifted. This is due to the earth’s relative motion around the sun, which contributes to the relative velocity detected and can be as much as ±29 km/s.</w:t>
      </w:r>
    </w:p>
    <w:p w:rsidR="00000000" w:rsidDel="00000000" w:rsidP="00000000" w:rsidRDefault="00000000" w:rsidRPr="00000000" w14:paraId="0000003D">
      <w:pPr>
        <w:numPr>
          <w:ilvl w:val="1"/>
          <w:numId w:val="2"/>
        </w:numPr>
        <w:spacing w:before="12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Because quadrants II and III are farther from the galactic center than us (the sun), these results suggest that the galaxy is rotating, with the inner portion (us) spinning faster than the outer portion (the observed hydrogen).</w:t>
      </w:r>
    </w:p>
    <w:p w:rsidR="00000000" w:rsidDel="00000000" w:rsidP="00000000" w:rsidRDefault="00000000" w:rsidRPr="00000000" w14:paraId="0000003E">
      <w:pPr>
        <w:numPr>
          <w:ilvl w:val="1"/>
          <w:numId w:val="2"/>
        </w:numPr>
        <w:spacing w:before="12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Note that these results are consistent with the known velocity curve that shows that the Milky Way Galaxy has a mostly flat (constant) velocity curve. Parts of the galaxy at different distances from the center have the same speed, and so a point that is closer to the center has a faster angular velocity than those farther out, according to </w:t>
      </w:r>
      <m:oMath>
        <m:r>
          <m:t>ω</m:t>
        </m:r>
        <m:r>
          <w:rPr>
            <w:rFonts w:ascii="Arial" w:cs="Arial" w:eastAsia="Arial" w:hAnsi="Arial"/>
            <w:i w:val="1"/>
            <w:iCs w:val="1"/>
          </w:rPr>
          <m:t xml:space="preserve"> = </m:t>
        </m:r>
        <m:f>
          <m:fPr>
            <m:ctrlPr>
              <w:rPr>
                <w:rFonts w:ascii="Arial" w:cs="Arial" w:eastAsia="Arial" w:hAnsi="Arial"/>
                <w:i w:val="1"/>
                <w:iCs w:val="1"/>
              </w:rPr>
            </m:ctrlPr>
          </m:fPr>
          <m:num>
            <m:r>
              <w:rPr>
                <w:rFonts w:ascii="Arial" w:cs="Arial" w:eastAsia="Arial" w:hAnsi="Arial"/>
                <w:i w:val="1"/>
                <w:iCs w:val="1"/>
              </w:rPr>
              <m:t xml:space="preserve">v</m:t>
            </m:r>
          </m:num>
          <m:den>
            <m:r>
              <w:rPr>
                <w:rFonts w:ascii="Arial" w:cs="Arial" w:eastAsia="Arial" w:hAnsi="Arial"/>
                <w:i w:val="1"/>
                <w:iCs w:val="1"/>
              </w:rPr>
              <m:t xml:space="preserve">r</m:t>
            </m:r>
          </m:den>
        </m:f>
      </m:oMath>
      <w:r w:rsidDel="00000000" w:rsidR="00000000" w:rsidRPr="00000000">
        <w:rPr>
          <w:rFonts w:ascii="Arial" w:cs="Arial" w:eastAsia="Arial" w:hAnsi="Arial"/>
          <w:i w:val="0"/>
          <w:iCs w:val="0"/>
          <w:rtl w:val="0"/>
          <w:sz w:val="22"/>
          <w:szCs w:val="22"/>
        </w:rPr>
        <w:t xml:space="preserve">, where v = constant (approximately) for all distances from the GC.</w:t>
      </w:r>
    </w:p>
    <w:p w:rsidR="00000000" w:rsidDel="00000000" w:rsidP="00000000" w:rsidRDefault="00000000" w:rsidRPr="00000000" w14:paraId="0000003F">
      <w:pPr>
        <w:numPr>
          <w:ilvl w:val="1"/>
          <w:numId w:val="2"/>
        </w:numPr>
        <w:spacing w:before="12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Student Conclusions:</w:t>
      </w:r>
    </w:p>
    <w:p w:rsidR="00000000" w:rsidDel="00000000" w:rsidP="00000000" w:rsidRDefault="00000000" w:rsidRPr="00000000" w14:paraId="00000040">
      <w:pPr>
        <w:numPr>
          <w:ilvl w:val="2"/>
          <w:numId w:val="2"/>
        </w:numPr>
        <w:spacing w:before="120" w:lineRule="auto" w:line="264" w:after="80"/>
        <w:ind w:left="180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Have each group present their results.</w:t>
      </w:r>
    </w:p>
    <w:p w:rsidR="00000000" w:rsidDel="00000000" w:rsidP="00000000" w:rsidRDefault="00000000" w:rsidRPr="00000000" w14:paraId="00000041">
      <w:pPr>
        <w:numPr>
          <w:ilvl w:val="2"/>
          <w:numId w:val="2"/>
        </w:numPr>
        <w:spacing w:before="120" w:lineRule="auto" w:line="264" w:after="80"/>
        <w:ind w:left="180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After the results are presented and the table completed, have each group describe their conclusions on a whiteboard.</w:t>
      </w:r>
    </w:p>
    <w:p w:rsidR="00000000" w:rsidDel="00000000" w:rsidP="00000000" w:rsidRDefault="00000000" w:rsidRPr="00000000" w14:paraId="00000042">
      <w:pPr>
        <w:numPr>
          <w:ilvl w:val="2"/>
          <w:numId w:val="2"/>
        </w:numPr>
        <w:spacing w:before="120" w:lineRule="auto" w:line="264" w:after="80"/>
        <w:ind w:left="180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Discussion: try to get the students to conclude that the blue shifts of the Quadrant II peaks and the red shifts of Quadrant III peaks implies a rotation that is clockwise in the standard galactic coordinate system.</w:t>
      </w:r>
      <w:r w:rsidDel="00000000" w:rsidR="00000000" w:rsidRPr="00000000">
        <w:rPr>
          <w:rtl w:val="0"/>
          <w:rFonts w:ascii="Arial" w:hAnsi="Arial" w:cs="Arial" w:eastAsia="Arial"/>
          <w:sz w:val="22"/>
          <w:szCs w:val="22"/>
          <w:i w:val="0"/>
          <w:iCs w:val="0"/>
        </w:rPr>
      </w:r>
    </w:p>
    <w:sectPr>
      <w:headerReference r:id="rId8" w:type="default"/>
      <w:footerReference w:type="default" r:id="rId9"/>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table" w:styleId="Table1">
    <w:basedOn w:val="TableNormal"/>
    <w:tblPr>
      <w:tblStyleRowBandSize w:val="1"/>
      <w:tblStyleColBandSize w:val="1"/>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youtu.be/tDCPp8RIM4g" TargetMode="External"/><Relationship Id="rId7" Type="http://schemas.openxmlformats.org/officeDocument/2006/relationships/hyperlink" Target="https://youtu.be/tDCPp8RIM4g" TargetMode="Externa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Velocity curve part 1 teacher notes</dc:title>
  <cp:lastModifiedBy>WVU DSPIRA</cp:lastModifiedBy>
  <cp:revision>1</cp:revision>
  <dcterms:modified xsi:type="dcterms:W3CDTF">2026-09-26T20:54:25Z</dcterms:modified>
  <dc:description/>
</cp:coreProperties>
</file>