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79518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ind w:left="1134" w:hanging="1134"/>
        <w:rPr>
          <w:rFonts w:ascii="Helvetica Neue" w:eastAsia="Helvetica Neue" w:hAnsi="Helvetica Neue" w:cs="Helvetica Neue"/>
          <w:i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Subject: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Event Detection: First Light with 4 Horns</w:t>
      </w:r>
    </w:p>
    <w:p w14:paraId="5ECFA697" w14:textId="67F665E3" w:rsidR="006A6645" w:rsidRDefault="00AC22AC">
      <w:pPr>
        <w:pBdr>
          <w:top w:val="nil"/>
          <w:left w:val="nil"/>
          <w:bottom w:val="nil"/>
          <w:right w:val="nil"/>
          <w:between w:val="nil"/>
        </w:pBdr>
        <w:ind w:left="1134" w:hanging="1134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Memo: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 xml:space="preserve">27, Revision </w:t>
      </w:r>
      <w:r w:rsidR="00D056BF">
        <w:rPr>
          <w:rFonts w:ascii="Helvetica Neue" w:eastAsia="Helvetica Neue" w:hAnsi="Helvetica Neue" w:cs="Helvetica Neue"/>
          <w:sz w:val="22"/>
          <w:szCs w:val="22"/>
        </w:rPr>
        <w:t>3</w:t>
      </w:r>
    </w:p>
    <w:p w14:paraId="5F36C5C5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ind w:left="1134" w:hanging="1134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From: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Glen Langston, Kevin Bandura, Nathaniel Langston, Pranav, Sophie, Evan, Sue Ann</w:t>
      </w:r>
    </w:p>
    <w:p w14:paraId="534E0B61" w14:textId="082363BC" w:rsidR="006A6645" w:rsidRDefault="00AC22AC">
      <w:pPr>
        <w:pBdr>
          <w:top w:val="nil"/>
          <w:left w:val="nil"/>
          <w:bottom w:val="nil"/>
          <w:right w:val="nil"/>
          <w:between w:val="nil"/>
        </w:pBdr>
        <w:ind w:left="1134" w:hanging="1134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Date: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20</w:t>
      </w:r>
      <w:r>
        <w:rPr>
          <w:rFonts w:ascii="Helvetica Neue" w:eastAsia="Helvetica Neue" w:hAnsi="Helvetica Neue" w:cs="Helvetica Neue"/>
          <w:sz w:val="22"/>
          <w:szCs w:val="22"/>
        </w:rPr>
        <w:t>2</w:t>
      </w:r>
      <w:r w:rsidR="00D056BF">
        <w:rPr>
          <w:rFonts w:ascii="Helvetica Neue" w:eastAsia="Helvetica Neue" w:hAnsi="Helvetica Neue" w:cs="Helvetica Neue"/>
          <w:sz w:val="22"/>
          <w:szCs w:val="22"/>
        </w:rPr>
        <w:t>1 February 2</w:t>
      </w:r>
    </w:p>
    <w:p w14:paraId="741768E5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ind w:left="1134" w:hanging="1134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Summary: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Short duration (&lt; 1 microsecond) radio flashes are detectable with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home built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radio telescopes.</w:t>
      </w:r>
    </w:p>
    <w:p w14:paraId="411FFF2B" w14:textId="77777777" w:rsidR="006A6645" w:rsidRDefault="006A664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38CF6B5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This note describes the first detection of short duration radio flashes with student/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home built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radio telescopes.</w:t>
      </w:r>
    </w:p>
    <w:p w14:paraId="51E12850" w14:textId="77777777" w:rsidR="006A6645" w:rsidRDefault="006A664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5D4657F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Memos showing how to build Horn Telescopes 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 at:</w:t>
      </w:r>
    </w:p>
    <w:p w14:paraId="00468A37" w14:textId="29489FDB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hyperlink r:id="rId7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http://</w:t>
        </w:r>
      </w:hyperlink>
      <w:r w:rsidR="00D056BF">
        <w:rPr>
          <w:rFonts w:ascii="Helvetica Neue" w:eastAsia="Helvetica Neue" w:hAnsi="Helvetica Neue" w:cs="Helvetica Neue"/>
          <w:color w:val="000000"/>
          <w:sz w:val="22"/>
          <w:szCs w:val="22"/>
          <w:u w:val="single"/>
        </w:rPr>
        <w:t>github.com/WVURAIL/lightwork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and </w:t>
      </w:r>
      <w:hyperlink r:id="rId8">
        <w:r>
          <w:rPr>
            <w:rFonts w:ascii="Helvetica Neue" w:eastAsia="Helvetica Neue" w:hAnsi="Helvetica Neue" w:cs="Helvetica Neue"/>
            <w:color w:val="1155CC"/>
            <w:sz w:val="22"/>
            <w:szCs w:val="22"/>
            <w:u w:val="single"/>
          </w:rPr>
          <w:t>http://WVURAIL.org/cra</w:t>
        </w:r>
      </w:hyperlink>
    </w:p>
    <w:p w14:paraId="2D3101A0" w14:textId="77777777" w:rsidR="006A6645" w:rsidRDefault="006A664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4C181FF5" w14:textId="77777777" w:rsidR="006A6645" w:rsidRDefault="00AC22AC">
      <w:pPr>
        <w:pStyle w:val="Heading3"/>
      </w:pPr>
      <w:r>
        <w:t>Background</w:t>
      </w:r>
    </w:p>
    <w:p w14:paraId="548ED125" w14:textId="42D06CB1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We’ve built radio telescope horns for observations of the Milky Way.   The simple design of these telescopes enables hobbyists, high </w:t>
      </w:r>
      <w:r>
        <w:rPr>
          <w:rFonts w:ascii="Helvetica Neue" w:eastAsia="Helvetica Neue" w:hAnsi="Helvetica Neue" w:cs="Helvetica Neue"/>
          <w:sz w:val="22"/>
          <w:szCs w:val="22"/>
        </w:rPr>
        <w:t>school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students and teachers to construct and operate the telescopes.</w:t>
      </w:r>
      <w:r w:rsidR="00D056BF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Ideally these horns can be built by teams of school groups.  Once built, students can quickly map our Milky Way galaxy and also detect transient events caused by </w:t>
      </w:r>
      <w:proofErr w:type="gramStart"/>
      <w:r w:rsidR="00D056BF">
        <w:rPr>
          <w:rFonts w:ascii="Helvetica Neue" w:eastAsia="Helvetica Neue" w:hAnsi="Helvetica Neue" w:cs="Helvetica Neue"/>
          <w:color w:val="000000"/>
          <w:sz w:val="22"/>
          <w:szCs w:val="22"/>
        </w:rPr>
        <w:t>cosmic-rays</w:t>
      </w:r>
      <w:proofErr w:type="gramEnd"/>
      <w:r w:rsidR="00D056BF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striking the Earth’s atmosphere.</w:t>
      </w:r>
    </w:p>
    <w:p w14:paraId="50E69E63" w14:textId="3A571EDF" w:rsidR="00D056BF" w:rsidRDefault="00D056B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6D14A08" w14:textId="60EE31AE" w:rsidR="00D056BF" w:rsidRDefault="00D056B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We setup 4 horns, aligned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east-west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and separated by 10 feet between each telescope.   The Telescopes, shown in Figure 1, were set at fixed elevations, all pointing south.</w:t>
      </w:r>
    </w:p>
    <w:p w14:paraId="05FA5BCD" w14:textId="77777777" w:rsidR="006A6645" w:rsidRDefault="00AC22AC">
      <w:pPr>
        <w:pStyle w:val="Heading3"/>
      </w:pPr>
      <w:r>
        <w:t>First analysis</w:t>
      </w:r>
    </w:p>
    <w:p w14:paraId="70A07567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The computer clock precision on the te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lescope host computers, Raspberry Pi 4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 ,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with 4 GB of memory is measured to be roughly +/- 5 milli-seconds RMS.   This is true when providing a GPS based time signal to a host computer and using the Network Time Protocol (NTP) to set the clocks on the ind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ividual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Pis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  </w:t>
      </w:r>
    </w:p>
    <w:p w14:paraId="56C4D785" w14:textId="77777777" w:rsidR="006A6645" w:rsidRDefault="006A664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88CE0C2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The events are considered simultaneous when occurring within </w:t>
      </w:r>
      <w:r>
        <w:rPr>
          <w:rFonts w:ascii="Helvetica Neue" w:eastAsia="Helvetica Neue" w:hAnsi="Helvetica Neue" w:cs="Helvetica Neue"/>
          <w:sz w:val="22"/>
          <w:szCs w:val="22"/>
        </w:rPr>
        <w:t>4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0 milliseconds of clock time.</w:t>
      </w:r>
    </w:p>
    <w:p w14:paraId="2F974B58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For reference there are </w:t>
      </w:r>
      <w:r>
        <w:rPr>
          <w:rFonts w:ascii="Helvetica Neue" w:eastAsia="Helvetica Neue" w:hAnsi="Helvetica Neue" w:cs="Helvetica Neue"/>
          <w:sz w:val="22"/>
          <w:szCs w:val="22"/>
        </w:rPr>
        <w:t>2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,</w:t>
      </w:r>
      <w:r>
        <w:rPr>
          <w:rFonts w:ascii="Helvetica Neue" w:eastAsia="Helvetica Neue" w:hAnsi="Helvetica Neue" w:cs="Helvetica Neue"/>
          <w:sz w:val="22"/>
          <w:szCs w:val="22"/>
        </w:rPr>
        <w:t>16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0,000 </w:t>
      </w:r>
      <w:r>
        <w:rPr>
          <w:rFonts w:ascii="Helvetica Neue" w:eastAsia="Helvetica Neue" w:hAnsi="Helvetica Neue" w:cs="Helvetica Neue"/>
          <w:sz w:val="22"/>
          <w:szCs w:val="22"/>
        </w:rPr>
        <w:t>forty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millisecond intervals in a day.   Since the horns are finding roughly 200-400 events per day, it is unlikel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y that the events found within the same interval are not due to internally </w:t>
      </w:r>
      <w:r>
        <w:rPr>
          <w:rFonts w:ascii="Helvetica Neue" w:eastAsia="Helvetica Neue" w:hAnsi="Helvetica Neue" w:cs="Helvetica Neue"/>
          <w:sz w:val="22"/>
          <w:szCs w:val="22"/>
        </w:rPr>
        <w:t>generated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noise.  are not in some way connected if found simultaneously in the intervals.  To estimate that one horn determines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400 randomly selected time bins.   Then the odds of a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nother horn seeing another random event is the same bin is 400/8640000 or 1 in 21,600.  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So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if 400 more random, unrelated events were found by another horn, then the odds of simultaneous events would be 400/21,600, or one in 54 chance.    </w:t>
      </w:r>
    </w:p>
    <w:p w14:paraId="5A3232C7" w14:textId="77777777" w:rsidR="006A6645" w:rsidRDefault="00AC22AC">
      <w:pPr>
        <w:pStyle w:val="Heading3"/>
      </w:pPr>
      <w:r>
        <w:t>Conclusion</w:t>
      </w:r>
    </w:p>
    <w:p w14:paraId="52D2E4E4" w14:textId="77777777" w:rsidR="006A6645" w:rsidRDefault="006A664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FA3EE8B" w14:textId="77777777" w:rsidR="006A6645" w:rsidRDefault="006A664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034407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Thanks to my family and friends for their support for this project.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>
        <w:br w:type="page"/>
      </w:r>
    </w:p>
    <w:p w14:paraId="4B55B25C" w14:textId="77777777" w:rsidR="006A6645" w:rsidRDefault="00AC22A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noProof/>
          <w:color w:val="000000"/>
          <w:sz w:val="22"/>
          <w:szCs w:val="22"/>
        </w:rPr>
        <w:lastRenderedPageBreak/>
        <w:drawing>
          <wp:anchor distT="152400" distB="152400" distL="152400" distR="152400" simplePos="0" relativeHeight="251658240" behindDoc="0" locked="0" layoutInCell="1" hidden="0" allowOverlap="1" wp14:anchorId="31A849E4" wp14:editId="20277AD5">
            <wp:simplePos x="0" y="0"/>
            <wp:positionH relativeFrom="page">
              <wp:posOffset>-568958</wp:posOffset>
            </wp:positionH>
            <wp:positionV relativeFrom="page">
              <wp:posOffset>12016723</wp:posOffset>
            </wp:positionV>
            <wp:extent cx="5943600" cy="3756678"/>
            <wp:effectExtent l="0" t="0" r="0" b="0"/>
            <wp:wrapTopAndBottom distT="152400" distB="152400"/>
            <wp:docPr id="10737418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Helvetica Neue" w:eastAsia="Helvetica Neue" w:hAnsi="Helvetica Neue" w:cs="Helvetica Neue"/>
          <w:noProof/>
          <w:color w:val="000000"/>
          <w:sz w:val="22"/>
          <w:szCs w:val="22"/>
        </w:rPr>
        <w:drawing>
          <wp:anchor distT="152400" distB="152400" distL="152400" distR="152400" simplePos="0" relativeHeight="251659264" behindDoc="0" locked="0" layoutInCell="1" hidden="0" allowOverlap="1" wp14:anchorId="25A01067" wp14:editId="08A1FCCA">
            <wp:simplePos x="0" y="0"/>
            <wp:positionH relativeFrom="page">
              <wp:posOffset>548640</wp:posOffset>
            </wp:positionH>
            <wp:positionV relativeFrom="page">
              <wp:posOffset>10368280</wp:posOffset>
            </wp:positionV>
            <wp:extent cx="5943600" cy="3736166"/>
            <wp:effectExtent l="0" t="0" r="0" b="0"/>
            <wp:wrapSquare wrapText="bothSides" distT="152400" distB="152400" distL="152400" distR="152400"/>
            <wp:docPr id="10737418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Helvetica Neue" w:eastAsia="Helvetica Neue" w:hAnsi="Helvetica Neue" w:cs="Helvetica Neue"/>
          <w:noProof/>
          <w:color w:val="000000"/>
          <w:sz w:val="22"/>
          <w:szCs w:val="22"/>
        </w:rPr>
        <w:drawing>
          <wp:anchor distT="152400" distB="152400" distL="152400" distR="152400" simplePos="0" relativeHeight="251660288" behindDoc="0" locked="0" layoutInCell="1" hidden="0" allowOverlap="1" wp14:anchorId="496B7BCB" wp14:editId="3B78ED3E">
            <wp:simplePos x="0" y="0"/>
            <wp:positionH relativeFrom="page">
              <wp:posOffset>904894</wp:posOffset>
            </wp:positionH>
            <wp:positionV relativeFrom="page">
              <wp:posOffset>11446038</wp:posOffset>
            </wp:positionV>
            <wp:extent cx="5231091" cy="4898046"/>
            <wp:effectExtent l="0" t="0" r="0" b="0"/>
            <wp:wrapNone/>
            <wp:docPr id="10737418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091" cy="489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Helvetica Neue" w:eastAsia="Helvetica Neue" w:hAnsi="Helvetica Neue" w:cs="Helvetica Neue"/>
          <w:noProof/>
          <w:color w:val="000000"/>
          <w:sz w:val="22"/>
          <w:szCs w:val="22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hidden="0" allowOverlap="1" wp14:anchorId="29323CD7" wp14:editId="0754CB5E">
                <wp:simplePos x="0" y="0"/>
                <wp:positionH relativeFrom="page">
                  <wp:posOffset>854794</wp:posOffset>
                </wp:positionH>
                <wp:positionV relativeFrom="page">
                  <wp:posOffset>803241</wp:posOffset>
                </wp:positionV>
                <wp:extent cx="6220805" cy="2603635"/>
                <wp:effectExtent l="0" t="0" r="0" b="0"/>
                <wp:wrapTopAndBottom distT="152400" distB="152400"/>
                <wp:docPr id="1073741831" name="Group 107374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805" cy="2603635"/>
                          <a:chOff x="2235598" y="2478183"/>
                          <a:chExt cx="6220806" cy="260363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35598" y="2478183"/>
                            <a:ext cx="6220806" cy="2603636"/>
                            <a:chOff x="0" y="0"/>
                            <a:chExt cx="6220805" cy="260363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220800" cy="260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B47EF8" w14:textId="77777777" w:rsidR="006A6645" w:rsidRDefault="006A66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4069172" cy="260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4120100" y="0"/>
                              <a:ext cx="2100705" cy="260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13AA3" w14:textId="77777777" w:rsidR="006A6645" w:rsidRDefault="00AC22AC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Helvetica Neue" w:eastAsia="Helvetica Neue" w:hAnsi="Helvetica Neue" w:cs="Helvetica Neue"/>
                                    <w:b/>
                                    <w:color w:val="000000"/>
                                    <w:sz w:val="22"/>
                                  </w:rPr>
                                  <w:t xml:space="preserve">Figure 1: Four radio telescope horns all simultaneously observing different elevations on the sky. These horns each have an aperture area of </w:t>
                                </w:r>
                                <w:proofErr w:type="spellStart"/>
                                <w:r>
                                  <w:rPr>
                                    <w:rFonts w:ascii="Helvetica Neue" w:eastAsia="Helvetica Neue" w:hAnsi="Helvetica Neue" w:cs="Helvetica Neue"/>
                                    <w:b/>
                                    <w:color w:val="000000"/>
                                    <w:sz w:val="22"/>
                                  </w:rPr>
                                  <w:t>roughy</w:t>
                                </w:r>
                                <w:proofErr w:type="spellEnd"/>
                                <w:r>
                                  <w:rPr>
                                    <w:rFonts w:ascii="Helvetica Neue" w:eastAsia="Helvetica Neue" w:hAnsi="Helvetica Neue" w:cs="Helvetica Neue"/>
                                    <w:b/>
                                    <w:color w:val="000000"/>
                                    <w:sz w:val="22"/>
                                  </w:rPr>
                                  <w:t xml:space="preserve"> 0.5 m</w:t>
                                </w:r>
                                <w:r>
                                  <w:rPr>
                                    <w:rFonts w:ascii="Helvetica Neue" w:eastAsia="Helvetica Neue" w:hAnsi="Helvetica Neue" w:cs="Helvetica Neue"/>
                                    <w:b/>
                                    <w:color w:val="000000"/>
                                    <w:sz w:val="22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50800" tIns="50800" rIns="50800" bIns="508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854794</wp:posOffset>
                </wp:positionH>
                <wp:positionV relativeFrom="page">
                  <wp:posOffset>803241</wp:posOffset>
                </wp:positionV>
                <wp:extent cx="6220805" cy="2603635"/>
                <wp:effectExtent b="0" l="0" r="0" t="0"/>
                <wp:wrapTopAndBottom distB="152400" distT="152400"/>
                <wp:docPr id="10737418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0805" cy="2603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6A6645">
      <w:headerReference w:type="default" r:id="rId14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84D77" w14:textId="77777777" w:rsidR="00AC22AC" w:rsidRDefault="00AC22AC">
      <w:r>
        <w:separator/>
      </w:r>
    </w:p>
  </w:endnote>
  <w:endnote w:type="continuationSeparator" w:id="0">
    <w:p w14:paraId="7D9712EF" w14:textId="77777777" w:rsidR="00AC22AC" w:rsidRDefault="00AC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F241B" w14:textId="77777777" w:rsidR="00AC22AC" w:rsidRDefault="00AC22AC">
      <w:r>
        <w:separator/>
      </w:r>
    </w:p>
  </w:footnote>
  <w:footnote w:type="continuationSeparator" w:id="0">
    <w:p w14:paraId="070525F2" w14:textId="77777777" w:rsidR="00AC22AC" w:rsidRDefault="00AC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E4DF0" w14:textId="2D039B7D" w:rsidR="006A6645" w:rsidRDefault="00AC22AC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 xml:space="preserve">LightWork Memo 27: Event Detection: First Light with 4 Horns </w:t>
    </w:r>
    <w:r w:rsidR="00D056BF">
      <w:rPr>
        <w:rFonts w:ascii="Helvetica Neue" w:eastAsia="Helvetica Neue" w:hAnsi="Helvetica Neue" w:cs="Helvetica Neue"/>
        <w:color w:val="000000"/>
      </w:rPr>
      <w:t xml:space="preserve">- </w:t>
    </w:r>
    <w:r>
      <w:rPr>
        <w:rFonts w:ascii="Helvetica Neue" w:eastAsia="Helvetica Neue" w:hAnsi="Helvetica Neue" w:cs="Helvetica Neue"/>
        <w:color w:val="000000"/>
      </w:rPr>
      <w:t xml:space="preserve">Revision </w:t>
    </w:r>
    <w:r w:rsidR="00D056BF">
      <w:rPr>
        <w:rFonts w:ascii="Helvetica Neue" w:eastAsia="Helvetica Neue" w:hAnsi="Helvetica Neue" w:cs="Helvetica Neue"/>
        <w:color w:val="00000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645"/>
    <w:rsid w:val="006A6645"/>
    <w:rsid w:val="00AC22AC"/>
    <w:rsid w:val="00D0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5D86"/>
  <w15:docId w15:val="{59CAB1CB-137C-B149-B11E-74C2AFC0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single" w:sz="4" w:space="0" w:color="515151"/>
        <w:left w:val="nil"/>
        <w:bottom w:val="nil"/>
        <w:right w:val="nil"/>
        <w:between w:val="nil"/>
      </w:pBdr>
      <w:spacing w:before="360" w:after="40" w:line="288" w:lineRule="auto"/>
      <w:outlineLvl w:val="2"/>
    </w:pPr>
    <w:rPr>
      <w:rFonts w:ascii="Helvetica Neue Light" w:eastAsia="Helvetica Neue Light" w:hAnsi="Helvetica Neue Light" w:cs="Helvetica Neue Light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5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6BF"/>
  </w:style>
  <w:style w:type="paragraph" w:styleId="Footer">
    <w:name w:val="footer"/>
    <w:basedOn w:val="Normal"/>
    <w:link w:val="FooterChar"/>
    <w:uiPriority w:val="99"/>
    <w:unhideWhenUsed/>
    <w:rsid w:val="00D05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vurail.org/cr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opensourceradiotelescopes.org/wk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s9f8pPv0sG7ZiKzU+XbHTArpg==">AMUW2mVqVDDUa4qzk5j63YeT/KoMQJ9xEDuoP8hQ2Vw7IaAFjKiyhE3RvAeGgP47AcMUiSWFjCK73hIRET8qNzbj94VMUF/QEb/9aTM7E4td3yq9KHhcbms=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LaFleur</cp:lastModifiedBy>
  <cp:revision>2</cp:revision>
  <dcterms:created xsi:type="dcterms:W3CDTF">2021-02-03T00:42:00Z</dcterms:created>
  <dcterms:modified xsi:type="dcterms:W3CDTF">2021-02-03T00:48:00Z</dcterms:modified>
</cp:coreProperties>
</file>