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Noto Sans SC" w:hAnsi="Noto Sans SC" w:eastAsia="Noto Sans SC" w:cs="Noto Sans SC"/>
          <w:b/>
          <w:color w:val="7A5A00"/>
          <w:sz w:val="19"/>
        </w:rPr>
        <w:t>RESEARCH READING MAP</w:t>
      </w:r>
    </w:p>
    <w:p>
      <w:pPr>
        <w:spacing w:after="160"/>
        <w:jc w:val="center"/>
      </w:pPr>
      <w:r>
        <w:rPr>
          <w:rFonts w:ascii="Noto Sans SC" w:hAnsi="Noto Sans SC" w:eastAsia="Noto Sans SC" w:cs="Noto Sans SC"/>
          <w:b/>
          <w:color w:val="0B2545"/>
          <w:sz w:val="56"/>
        </w:rPr>
        <w:t>混合架构量化研究系统</w:t>
      </w:r>
    </w:p>
    <w:p>
      <w:pPr>
        <w:spacing w:after="240"/>
        <w:jc w:val="center"/>
      </w:pPr>
      <w:r>
        <w:rPr>
          <w:rFonts w:ascii="Noto Sans SC" w:hAnsi="Noto Sans SC" w:eastAsia="Noto Sans SC" w:cs="Noto Sans SC"/>
          <w:b/>
          <w:color w:val="1F4D78"/>
          <w:sz w:val="46"/>
        </w:rPr>
        <w:t>论文与研报研读地图</w:t>
      </w:r>
    </w:p>
    <w:p>
      <w:pPr>
        <w:spacing w:after="560"/>
        <w:jc w:val="center"/>
      </w:pPr>
      <w:r>
        <w:rPr>
          <w:rFonts w:ascii="Noto Sans SC" w:hAnsi="Noto Sans SC" w:eastAsia="Noto Sans SC" w:cs="Noto Sans SC"/>
          <w:color w:val="5C6670"/>
          <w:sz w:val="23"/>
        </w:rPr>
        <w:t>第一代 / 第二代 · DP · 神经网络 · RL · Quant Research · AI / Auto Research</w:t>
      </w:r>
    </w:p>
    <w:p>
      <w:pPr>
        <w:pBdr>
          <w:bottom w:val="single" w:sz="10" w:space="6" w:color="B7C6D8"/>
        </w:pBdr>
        <w:spacing w:after="4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34"/>
              </w:rPr>
              <w:t>74</w:t>
            </w:r>
          </w:p>
          <w:p>
            <w:pPr>
              <w:spacing w:after="0"/>
              <w:jc w:val="center"/>
            </w:pPr>
            <w:r>
              <w:rPr>
                <w:rFonts w:ascii="Noto Sans SC" w:hAnsi="Noto Sans SC" w:eastAsia="Noto Sans SC" w:cs="Noto Sans SC"/>
                <w:color w:val="5C6670"/>
                <w:sz w:val="17"/>
              </w:rPr>
              <w:t>篇论文 / 报告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34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Noto Sans SC" w:hAnsi="Noto Sans SC" w:eastAsia="Noto Sans SC" w:cs="Noto Sans SC"/>
                <w:color w:val="5C6670"/>
                <w:sz w:val="17"/>
              </w:rPr>
              <w:t>个方法板块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34"/>
              </w:rPr>
              <w:t>4 周</w:t>
            </w:r>
          </w:p>
          <w:p>
            <w:pPr>
              <w:spacing w:after="0"/>
              <w:jc w:val="center"/>
            </w:pPr>
            <w:r>
              <w:rPr>
                <w:rFonts w:ascii="Noto Sans SC" w:hAnsi="Noto Sans SC" w:eastAsia="Noto Sans SC" w:cs="Noto Sans SC"/>
                <w:color w:val="5C6670"/>
                <w:sz w:val="17"/>
              </w:rPr>
              <w:t>建议研读路径</w:t>
            </w:r>
          </w:p>
        </w:tc>
      </w:tr>
    </w:tbl>
    <w:p>
      <w:pPr>
        <w:spacing w:before="560"/>
        <w:jc w:val="center"/>
      </w:pPr>
      <w:r>
        <w:rPr>
          <w:rFonts w:ascii="Noto Sans SC" w:hAnsi="Noto Sans SC" w:eastAsia="Noto Sans SC" w:cs="Noto Sans SC"/>
          <w:b/>
          <w:color w:val="1F4D78"/>
          <w:sz w:val="20"/>
        </w:rPr>
        <w:t>版本 1.0  ·  2026-08-20</w:t>
      </w:r>
    </w:p>
    <w:p>
      <w:pPr>
        <w:jc w:val="center"/>
      </w:pPr>
      <w:r>
        <w:rPr>
          <w:rFonts w:ascii="Noto Sans SC" w:hAnsi="Noto Sans SC" w:eastAsia="Noto Sans SC" w:cs="Noto Sans SC"/>
          <w:i/>
          <w:color w:val="5C6670"/>
          <w:sz w:val="17"/>
        </w:rPr>
        <w:t>面向当前 Route1-DP 与后续混合架构研究；按方法相关性整理，不构成投资建议</w:t>
      </w: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如何使用这份研读地图</w:t>
      </w:r>
    </w:p>
    <w:p>
      <w:pPr>
        <w:keepLines w:val="0"/>
        <w:spacing w:before="0" w:after="80" w:line="283" w:lineRule="auto"/>
      </w:pPr>
      <w:r>
        <w:rPr>
          <w:rFonts w:ascii="Noto Sans SC" w:hAnsi="Noto Sans SC" w:eastAsia="Noto Sans SC" w:cs="Noto Sans SC"/>
          <w:color w:val="111827"/>
          <w:sz w:val="20"/>
        </w:rPr>
        <w:t>本文不是一份按年份排列的泛化 bibliography，而是围绕当前第一代与第二代混合架构的工程问题，对 74 篇论文、技术报告和券商研报进行方法映射。重点是回答：这项工作解决了什么、能映射到哪个子系统、研读时应验证什么，以及哪些假设不能直接搬到本地 5 分钟 A 股 FSIM 环境。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8"/>
              </w:rPr>
              <w:t>A = 近期必读，直接影响架构或实验；B = 子系统深入，适合在相关组件开工前阅读；C = 前沿/未来融合，只建立概念地图，暂不作为当前实现授权。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证据等级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8"/>
              </w:rPr>
              <w:t>‘期刊/会议论文’通常已同行评审；‘arXiv/预印本’需自行核验版本与复现；‘券商研报/公开摘要’优先寻找原 PDF，公开转载仅作入口。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A5A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本地边界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8"/>
              </w:rPr>
              <w:t>任何外部论文的 OOS、收益、IC 或回测优越性都不可直接当作本系统证据。官方 evaluator、IS/OS 隔离、相关性门、完整代状态更新和 winner-carry-forward 仍由本地合同决定。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两代混合架构与文献映射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780"/>
        <w:gridCol w:w="318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17"/>
              </w:rPr>
              <w:t>系统模块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17"/>
              </w:rPr>
              <w:t>当前功能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17"/>
              </w:rPr>
              <w:t>首要文献簇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第一代：Agent 研究导演</w:t>
            </w:r>
          </w:p>
        </w:tc>
        <w:tc>
          <w:tcPr>
            <w:tcW w:type="dxa" w:w="37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提出/拆解假设，调用 DP 与直接探索，维护研究记忆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R&amp;D-Agent(Q)、AI Scientist、ResearchAgent、Reflexion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第一代：Route1-DP</w:t>
            </w:r>
          </w:p>
        </w:tc>
        <w:tc>
          <w:tcPr>
            <w:tcW w:type="dxa" w:w="37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Grammar/AST + GA/GP + FI/QD archive + V/E/P 搜索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MAP-Elites、FI-2Pop、Multi-Emitter、AutoAlpha、WS-GP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第一代：确定性 evaluator</w:t>
            </w:r>
          </w:p>
        </w:tc>
        <w:tc>
          <w:tcPr>
            <w:tcW w:type="dxa" w:w="37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FSIM、hard gate、公司/周库相关性、辅助诊断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AlphaEval、PBO、DSR、Reality Check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第二代：Idea / Mechanism 图</w:t>
            </w:r>
          </w:p>
        </w:tc>
        <w:tc>
          <w:tcPr>
            <w:tcW w:type="dxa" w:w="37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IdeaCard/Signature 与 FormulaRealization 解耦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AlphaSchema、FactorMiner、QuantaAlpha、ResearchAgent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第二代：神经与上下文</w:t>
            </w:r>
          </w:p>
        </w:tc>
        <w:tc>
          <w:tcPr>
            <w:tcW w:type="dxa" w:w="37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隐状态、交易模式、图关系、持续适应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Autoencoder AP、TRA、HIST、MASTER、DoubleAdapt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第二代：多保真 surrogate</w:t>
            </w:r>
          </w:p>
        </w:tc>
        <w:tc>
          <w:tcPr>
            <w:tcW w:type="dxa" w:w="37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Level0/Level1 排序 Full FSIM；不改写 hard gate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SAIL、BOP-Elites、LightGBM、LambdaMART、Hyperband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第二代：自适应路由</w:t>
            </w:r>
          </w:p>
        </w:tc>
        <w:tc>
          <w:tcPr>
            <w:tcW w:type="dxa" w:w="37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按 parent/context 分配 operator/emitter，并处理非平稳 credit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LinUCB、Dynamic AOS、Non-stationary UCB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未来联合层</w:t>
            </w:r>
          </w:p>
        </w:tc>
        <w:tc>
          <w:tcPr>
            <w:tcW w:type="dxa" w:w="37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DP × neural × RL；先在子系统稳定后做有边界的组件交互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AlphaGen、RiskMiner、GFlowNet、PGA-MAP-Elites</w:t>
            </w:r>
          </w:p>
        </w:tc>
      </w:tr>
    </w:tbl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四周研读顺序（建议）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20"/>
        <w:gridCol w:w="3150"/>
        <w:gridCol w:w="334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17"/>
              </w:rPr>
              <w:t>周期</w:t>
            </w:r>
          </w:p>
        </w:tc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17"/>
              </w:rPr>
              <w:t>先读编号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17"/>
              </w:rPr>
              <w:t>本周目标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6"/>
              </w:rPr>
              <w:t>第 1 周</w:t>
            </w:r>
          </w:p>
        </w:tc>
        <w:tc>
          <w:tcPr>
            <w:tcW w:type="dxa" w:w="17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系统底座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D01、D03、D04、D06、D10、Q01、E01、E02</w:t>
            </w:r>
          </w:p>
        </w:tc>
        <w:tc>
          <w:tcPr>
            <w:tcW w:type="dxa" w:w="33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先把 archive、约束、评估和多重检验读透。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6"/>
              </w:rPr>
              <w:t>第 2 周</w:t>
            </w:r>
          </w:p>
        </w:tc>
        <w:tc>
          <w:tcPr>
            <w:tcW w:type="dxa" w:w="17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第二代表示与效率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Q05、Q06、Q07、D08、D09、N11、N12、N13</w:t>
            </w:r>
          </w:p>
        </w:tc>
        <w:tc>
          <w:tcPr>
            <w:tcW w:type="dxa" w:w="33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围绕 Idea→Formula、经验记忆和 Full FSIM 排序。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6"/>
              </w:rPr>
              <w:t>第 3 周</w:t>
            </w:r>
          </w:p>
        </w:tc>
        <w:tc>
          <w:tcPr>
            <w:tcW w:type="dxa" w:w="17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神经与自适应搜索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N01、N02、N07、N08、R01、R02、R04、R06、R07</w:t>
            </w:r>
          </w:p>
        </w:tc>
        <w:tc>
          <w:tcPr>
            <w:tcW w:type="dxa" w:w="33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建立 neural/context/bandit 与 DP 的边界。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6"/>
              </w:rPr>
              <w:t>第 4 周</w:t>
            </w:r>
          </w:p>
        </w:tc>
        <w:tc>
          <w:tcPr>
            <w:tcW w:type="dxa" w:w="17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Auto Research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Q04、Q08、Q10、A02、A03、A05、A06、A07、A10、A12</w:t>
            </w:r>
          </w:p>
        </w:tc>
        <w:tc>
          <w:tcPr>
            <w:tcW w:type="dxa" w:w="33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6"/>
              </w:rPr>
              <w:t>重点研究失败→新 idea→最小判别实验→winner carry-forward。</w:t>
            </w:r>
          </w:p>
        </w:tc>
      </w:tr>
    </w:tbl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第一轮核心研读清单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搜索底座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D01 / D03 / D04 / D06 / D10 / D11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昂贵评价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D08 / D09 / N11 / N12 / N13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自适应控制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R01 / R02 / R04 / R06 / R07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量化智能体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Q01 / Q04 / Q05 / Q06 / Q07 / Q08 / Q10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Auto Research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A02 / A03 / A05 / A06 / A07 / A10 / A12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统计防线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E01 / E02 / E03 / E05</w:t>
            </w:r>
          </w:p>
        </w:tc>
      </w:tr>
    </w:tbl>
    <w:p>
      <w:pPr>
        <w:keepLines w:val="0"/>
        <w:spacing w:before="0" w:after="40" w:line="283" w:lineRule="auto"/>
      </w:pPr>
      <w:r>
        <w:rPr>
          <w:rFonts w:ascii="Noto Sans SC" w:hAnsi="Noto Sans SC" w:eastAsia="Noto Sans SC" w:cs="Noto Sans SC"/>
          <w:color w:val="5C6670"/>
          <w:sz w:val="17"/>
        </w:rPr>
        <w:t>说明：上表列出 36 个条目编号；可先从每组前若干项中选 24–28 篇精读。同一篇论文可能同时服务多个模块。</w:t>
      </w: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1. DP、遗传规划与 Quality-Diversity</w:t>
      </w:r>
    </w:p>
    <w:p>
      <w:pPr>
        <w:keepLines w:val="0"/>
        <w:spacing w:before="0" w:after="120" w:line="283" w:lineRule="auto"/>
      </w:pPr>
      <w:r>
        <w:rPr>
          <w:rFonts w:ascii="Noto Sans SC" w:hAnsi="Noto Sans SC" w:eastAsia="Noto Sans SC" w:cs="Noto Sans SC"/>
          <w:color w:val="5C6670"/>
          <w:sz w:val="19"/>
        </w:rPr>
        <w:t>对应第一代 Route1-DP 的 AST/grammar、GA/GP、FI archive、MAP-Elites、V/E/P 组件轴；也是第二代 Idea/QD 搜索层的算法底座。</w:t>
      </w: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D01  [A]  </w:t>
      </w:r>
      <w:hyperlink r:id="rId11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Illuminating Search Spaces by Mapping Elites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Jean-Baptiste Mouret, Jeff Clune · 2015 ·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用行为描述符将搜索空间离散为 cell，每个 cell 保留最高质量解。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Route1-DP archive、behavior cell、common cell 与 winner-carry-forward 的原始理论基线。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descriptor 是否真能表达经济机制；coverage 与 quality 如何同时报告。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D02  [B]  </w:t>
      </w:r>
      <w:hyperlink r:id="rId12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Using Centroidal Voronoi Tessellations to Scale Up the Multidimensional Archive of Phenotypic Elites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Vassiliades, Chatzilygeroudis, Mouret · 2018 · 同行评审论文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以 CVT 在连续高维行为空间中构造有限数量生态位。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用于第二代高维 Idea/QD archive，避免手工 4×4×8 或 512-cell 网格过稀。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何时需要 CVT；descriptor 距离的尺度与可解释性。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D03  [A]  </w:t>
      </w:r>
      <w:hyperlink r:id="rId13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On a Feasible–Infeasible Two-Population Genetic Algorithm for Constrained Optimization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Kimbrough, Koehler, Lu, Wood · 2008 · 期刊论文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分别进化可行与不可行种群，使不可行个体沿约束违背程度向边界逼近。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直接对应 S2 已冻结的 FI-style archive，以及 hard gate 前后的双群体语义。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不可行个体的距离函数怎样定义才不会把系统推向错误边界。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D04  [A]  </w:t>
      </w:r>
      <w:hyperlink r:id="rId14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Talakat: Bullet Hell Generation through Constrained Map-Elites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Ahmed Khalifa et al. · 2018 · 同行评审论文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把约束处理和 MAP-Elites 结合，区分可行与不可行档案。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是当前 FI archive + QD 组合的直接方法参照。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约束档案怎样服务搜索，而不是把失败仅作为日志。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D05  [B]  </w:t>
      </w:r>
      <w:hyperlink r:id="rId15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Covariance Matrix Adaptation for the Rapid Illumination of Behavior Space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Fontaine, Togelius, Nikolaidis, Hoover · 2020 · 同行评审论文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以 CMA-ES emitter 改善连续空间中 MAP-Elites 的探索效率。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为 E 轴 emitter 设计提供成熟参照，但对离散 AST 需重新定义可迁移单元。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emitter 的信用与状态更新；连续方法迁移到符号空间的限制。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D06  [A]  </w:t>
      </w:r>
      <w:hyperlink r:id="rId16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Multi-Emitter MAP-Elites: Improving Quality, Diversity and Convergence Speed with Heterogeneous Sets of Emitters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Antoine Cully · 2021 · 同行评审论文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让不同 emitter 负责互补探索，并用 bandit 动态分配预算。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是统一 E 轴、operator-UCB、不同供给源配额的最直接来源之一。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奖励归属、探索下限、非平稳回报以及 emitter 间条件互补。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D07  [B]  </w:t>
      </w:r>
      <w:hyperlink r:id="rId17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Monte Carlo Elites: Quality-Diversity Selection as a Multi-Armed Bandit Problem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Sfikas, Liapis, Yannakakis · 2021 · 同行评审论文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把 cell 选择建模为多臂老虎机，平衡访问稀疏区和开发高潜区。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对应从固定 parent/cell sampling 走向基于实测回报的选择。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cell-level credit 与 operator-level credit 应否分开。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D08  [A]  </w:t>
      </w:r>
      <w:hyperlink r:id="rId18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Data-Efficient Design Exploration through Surrogate-Assisted Illumination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Gaier, Asteroth, Mouret · 2018 · 期刊论文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 surrogate 预测昂贵评价，在 acquisition map 上搜索，再选择真实评估点。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第二代 Level0/Level1/Full FSIM 多保真排序的关键理论来源。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surrogate 只能排队还是可以拒绝；不确定性如何进入 acquisition。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D09  [A]  </w:t>
      </w:r>
      <w:hyperlink r:id="rId19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BOP-Elites: A Bayesian Optimisation Approach to Quality Diversity Search with Black-Box Descriptor Functions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Kent, Gaier, Mouret, Branke · 2023 · 期刊论文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同时对质量和行为描述符建模，在昂贵黑盒下做 sample-efficient QD。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直接对应 FSIM 成本高、behavior 需 post-full 才知道的场景。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descriptor 预测误差、acquisition 批处理与错误淘汰风险。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D10  [A]  </w:t>
      </w:r>
      <w:hyperlink r:id="rId20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AutoAlpha: An Efficient Hierarchical Evolutionary Algorithm for Mining Alpha Factors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Zhang et al. · 2020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用层次化进化搜索公式化 Alpha，并围绕表达式构造与组合控制搜索空间。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是 Route1-DP 量化因子 GP/EA 方案的重要直接先例。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表达式层级、算子设计、评价预算与去冗余方式。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D11  [A]  </w:t>
      </w:r>
      <w:hyperlink r:id="rId21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Alpha Mining and Enhancing via Warm Start Genetic Programming for Quantitative Investment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Ren, Qin, Li · 2024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以高潜结构初始化和结构约束把 GP 搜索集中到更有效区域。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对应统一 P 轴 warm prior/parent supply，以及 V×P 条件互补假设。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warm source 如何构造、如何避免复制旧因子和早熟收敛。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D12  [B]  </w:t>
      </w:r>
      <w:hyperlink r:id="rId22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Epsilon-Lexicase Selection for Regression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La Cava, Spector, Danai · 2016 · 同行评审论文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逐 case 筛选 parent，并用自适应 ε 适配连续误差和保持行为多样性。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可将年度、市场状态、因子诊断 bucket 视为 cases，减少单一总分掩盖专长。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case 顺序随机性、ε 标定和稀疏事件下的选择压力。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D13  [B]  </w:t>
      </w:r>
      <w:hyperlink r:id="rId23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Improving Model-based Genetic Programming for Symbolic Regression of Small Expressions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Virgolin, Alderliesten, Witteveen, Bosman · 2021 · 期刊论文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GP-GOMEA 学习表达式节点依赖并做 linkage-guided optimal mixing。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针对当前 crossover 语法新颖但信号无效的问题，提供结构依赖学习思路。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linkage model 是否能从 AST 与 parent 结构统计中稳定学习。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7A5A00"/>
          <w:sz w:val="18"/>
        </w:rPr>
        <w:t xml:space="preserve">D14  [C]  </w:t>
      </w:r>
      <w:hyperlink r:id="rId24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Enhancing MAP-Elites with Multiple Parallel Evolution Strategies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Flageat, Lim, Cully · 2023 · 同行评审论文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使用多条并行 ES 改善大批量并行评价下的探索。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可参考其批并行思想，但当前 FSIM 并发和逐 arm 科学配对仍应优先。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并行带来的状态顺序效应；完整代提交与可复现性。</w:t>
      </w:r>
    </w:p>
    <w:p>
      <w:pPr>
        <w:spacing w:before="20" w:after="60"/>
        <w:pBdr>
          <w:bottom w:val="single" w:sz="4" w:space="2" w:color="E4E8EE"/>
        </w:pBdr>
      </w:pPr>
    </w:p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2. 神经网络、表征学习与多保真 surrogate</w:t>
      </w:r>
    </w:p>
    <w:p>
      <w:pPr>
        <w:keepLines w:val="0"/>
        <w:spacing w:before="0" w:after="120" w:line="283" w:lineRule="auto"/>
      </w:pPr>
      <w:r>
        <w:rPr>
          <w:rFonts w:ascii="Noto Sans SC" w:hAnsi="Noto Sans SC" w:eastAsia="Noto Sans SC" w:cs="Noto Sans SC"/>
          <w:color w:val="5C6670"/>
          <w:sz w:val="19"/>
        </w:rPr>
        <w:t>对应第二代的神经表征、市场状态/交易模式路由、图信息、在线适应，以及用于 Full FSIM 排序的轻量 surrogate；不是建议立即替换官方 evaluator。</w:t>
      </w: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N01  [A]  </w:t>
      </w:r>
      <w:hyperlink r:id="rId25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Empirical Asset Pricing via Machine Learning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Gu, Kelly, Xiu · 2020 · 期刊论文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系统比较树模型、神经网络等方法在高维特征与预期收益预测中的表现。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给第二代 neural subsystem 建立金融 ML 基准和非线性收益建模参照。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训练/验证设计、特征交互、经济显著性与模型复杂度。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N02  [A]  </w:t>
      </w:r>
      <w:hyperlink r:id="rId26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Autoencoder Asset Pricing Models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Gu, Kelly, Xiu · 2021 · 期刊论文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用条件自编码器学习时变隐含因子和资产暴露。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为‘公式 Alpha + 神经隐状态/残差’以及第二代 latent mechanism 表征提供基线。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latent factor 的识别、经济解释与残差定义。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N03  [A]  </w:t>
      </w:r>
      <w:hyperlink r:id="rId27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Deep Learning in Asset Pricing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Chen, Pelger, Zhu · 2023 · 期刊论文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把无套利条件与深度网络结合，学习定价核和非线性风险结构。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提醒神经子系统应吸收经济约束，而不是只拟合收益标签。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无套利损失、状态变量、跨期稳定性和样本外检验。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N04  [B]  </w:t>
      </w:r>
      <w:hyperlink r:id="rId28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Deep Learning for Predicting Asset Returns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Feng, He, Polson · 2018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以深度网络和 shrinkage/正则化预测横截面收益。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作为端到端 neural alpha 的早期基线，帮助判断公式系统与黑盒模型的互补边界。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模型容量、正则化和收益预测到组合构建的落差。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N05  [B]  </w:t>
      </w:r>
      <w:hyperlink r:id="rId29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Deep Learning in Characteristics-Sorted Factor Models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Feng, Polson, Xu · 2018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从特征排序组合中学习非线性因子结构。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可用于理解基于 field-role、horizon、context 的结构化表征。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组合排序、因子维数和可解释 latent structure。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N06  [A]  </w:t>
      </w:r>
      <w:hyperlink r:id="rId30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Qlib: An AI-oriented Quantitative Investment Platform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Yang et al. · 2020 · 开源论文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提供从数据、模型、回测到实验管理的统一量化研究平台。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主要作为混合系统基础设施、数据合同和可复现实验工程参照。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数据泄漏边界、rolling workflow、Alpha158/360 与评估闭环。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N07  [A]  </w:t>
      </w:r>
      <w:hyperlink r:id="rId31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Learning Multiple Stock Trading Patterns with Temporal Routing Adaptor and Optimal Transport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Lin et al. · 2021 · KDD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通过 temporal routing adaptor 识别多种交易模式，并用 optimal transport 训练路由。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与第二代 context/router、市场状态条件化和东方 DFQ-TRA 直接相关。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模式数量、路由稳定性、模式坍缩及跨期适应。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N08  [B]  </w:t>
      </w:r>
      <w:hyperlink r:id="rId32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HIST: A Graph-based Framework for Stock Trend Forecasting via Mining Concept-Oriented Shared Information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Xu et al. · 2021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结合预定义概念图与隐藏概念，提取股票间共享信息。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对应第二代 Idea Graph/关系信息与 neural subsystem 的图表示方向。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预定义概念不完备、隐藏概念挖掘和残差模块。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N09  [B]  </w:t>
      </w:r>
      <w:hyperlink r:id="rId33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MASTER: Market-Guided Stock Transformer for Stock Price Forecasting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Li et al. · 2024 · AAAI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用市场信息引导 Transformer 的时间与横截面注意力。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可作为 market context 编码器，但不应直接成为因子入库 gate。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市场 token、横截面交互和 regime shift。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N10  [B]  </w:t>
      </w:r>
      <w:hyperlink r:id="rId34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DoubleAdapt: A Meta-Learning Approach to Incremental Learning for Stock Trend Forecasting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Zhao, Kong, Shen · 2023 · KDD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同时适应数据分布和模型参数，以增量学习应对市场漂移。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对应第二代持续学习与研究记忆更新，而非回灌 OOS。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适应窗口、标签延迟、灾难性遗忘和合规数据边界。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N11  [A]  </w:t>
      </w:r>
      <w:hyperlink r:id="rId35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LightGBM: A Highly Efficient Gradient Boosting Decision Tree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Ke et al. · 2017 · NeurIPS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以 GOSS 与 EFB 提高 GBDT 训练效率。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适合作为 Level1→Full 的轻量、可解释排序器，而非替代 FSIM。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概率校准、特征重要性漂移和 ranking-only 合同。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N12  [A]  </w:t>
      </w:r>
      <w:hyperlink r:id="rId36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From RankNet to LambdaRank to LambdaMART: An Overview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Christopher Burges · 2010 · 微软研究技术报告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以排序损失直接优化候选相对次序。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比回归单一质量分数更贴合‘从 preflight 候选中选择 Full FSIM’的任务。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NDCG/排名目标如何映射到稀疏入库收益；group/seed 划分。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N13  [A]  </w:t>
      </w:r>
      <w:hyperlink r:id="rId37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Hyperband: A Novel Bandit-Based Approach to Hyperparameter Optimization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Li et al. · 2018 · JMLR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通过 successive halving 在不同资源预算间筛选配置。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 Level0/Level1/Full 多保真预算分配和早停。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低保真排序与 Full 结果的 rank correlation；不可把弱 proxy 当硬门。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N14  [B]  </w:t>
      </w:r>
      <w:hyperlink r:id="rId38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BOHB: Robust and Efficient Hyperparameter Optimization at Scale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Falkner, Klein, Hutter · 2018 · ICML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结合 Bayesian optimization 与 Hyperband，实现并行、多保真搜索。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为第二代 surrogate + budget controller 的组合提供参考。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并行批次、密度估计、冷启动与资源层级。</w:t>
      </w:r>
    </w:p>
    <w:p>
      <w:pPr>
        <w:spacing w:before="20" w:after="60"/>
        <w:pBdr>
          <w:bottom w:val="single" w:sz="4" w:space="2" w:color="E4E8EE"/>
        </w:pBdr>
      </w:pPr>
    </w:p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3. 强化学习、Bandit 与自适应算子选择</w:t>
      </w:r>
    </w:p>
    <w:p>
      <w:pPr>
        <w:keepLines w:val="0"/>
        <w:spacing w:before="0" w:after="120" w:line="283" w:lineRule="auto"/>
      </w:pPr>
      <w:r>
        <w:rPr>
          <w:rFonts w:ascii="Noto Sans SC" w:hAnsi="Noto Sans SC" w:eastAsia="Noto Sans SC" w:cs="Noto Sans SC"/>
          <w:color w:val="5C6670"/>
          <w:sz w:val="19"/>
        </w:rPr>
        <w:t>当前阶段优先使用确定性 controller/UCB；RL 文献主要用于理解 credit assignment、上下文路由和未来与 DP 的融合，不代表应立即把 RL 接入生产搜索。</w:t>
      </w: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R01  [A]  </w:t>
      </w:r>
      <w:hyperlink r:id="rId39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Finite-time Analysis of the Multiarmed Bandit Problem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Auer, Cesa-Bianchi, Fischer · 2002 · 期刊论文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给出 UCB1 的有限时间 regret 分析。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是现有 operator-UCB 和 emitter allocation 的最基础理论。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奖励有界性、非平稳性以及探索次数下限。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R02  [A]  </w:t>
      </w:r>
      <w:hyperlink r:id="rId40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 Contextual-Bandit Approach to Personalized News Article Recommendation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Li et al. · 2010 · WWW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LinUCB 用上下文特征估计每个动作在当前状态下的收益。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直接对应‘哪类 operator 在什么 parent 结构上有效’的 contextual operator router。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context 特征、离线评估偏差和置信区间。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R03  [B]  </w:t>
      </w:r>
      <w:hyperlink r:id="rId41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On Upper-Confidence Bound Policies for Non-Stationary Bandit Problems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Garivier, Moulines · 2011 · 同行评审论文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 discounted/sliding-window UCB 适应奖励分布变化。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对应搜索代数推进后 operator 回报与可行区域变化。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遗忘速度、突变检测和小样本噪声。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R04  [A]  </w:t>
      </w:r>
      <w:hyperlink r:id="rId42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Adaptive Operator Selection with Dynamic Multi-Armed Bandits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Fialho et al. · 2008 · GECCO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以动态 MAB 根据近期 credit 分配进化算子。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是 V/E 轴联合设计、算子收益与预算分配的直接来源。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credit assignment、极端值奖励、变化检测与 operator 冷启动。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R05  [B]  </w:t>
      </w:r>
      <w:hyperlink r:id="rId43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Adaptive Operator Selection with Bandits for a Multiobjective Evolutionary Algorithm Based on Decomposition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Li, Fialho, Kwong, Zhang · 2014 · IEEE 期刊论文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在多目标分解型进化算法中用 bandit 选择 operator。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对应质量、novelty、相关性与行为 cell 的多目标信用。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多目标 reward 压缩是否掩盖 trade-off；credit owner 必须唯一。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R06  [A]  </w:t>
      </w:r>
      <w:hyperlink r:id="rId44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Generating Synergistic Formulaic Alpha Collections via Reinforcement Learning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Yu et al. · 2023 · KDD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AlphaGen 用 RL 顺序生成表达式，并直接优化 Alpha 集合的协同价值。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对应第二代从单因子搜索转向低相关、互补集合搜索。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动作空间、集合级 reward、相关性惩罚和 OS 隔离。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R07  [A]  </w:t>
      </w:r>
      <w:hyperlink r:id="rId45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RiskMiner: Discovering Formulaic Alphas via Risk-Seeking Policy Optimization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Ren et al. · 2024 · NeurIPS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通过风险偏好策略优化关注稀有高回报表达式。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与当前有效因子极稀疏、平均回报信号弱的搜索环境高度相关。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risk-seeking objective 如何避免噪声极值与回测过拟合。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R08  [B]  </w:t>
      </w:r>
      <w:hyperlink r:id="rId46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AlphaSAGE: Alpha Mining with Self-Adaptive Genetic Exploration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Chen et al. · 2025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把遗传探索与自适应策略结合，针对表达式搜索动态调节。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可作为未来 DP/RL 交界的直接量化文献，但应在纯 DP 稳定后再评估。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策略更新依赖什么反馈；与 baseline GP 的真实增量。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7A5A00"/>
          <w:sz w:val="18"/>
        </w:rPr>
        <w:t xml:space="preserve">R09  [C]  </w:t>
      </w:r>
      <w:hyperlink r:id="rId47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Policy Gradient Assisted MAP-Elites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Nilsson, Cully · 2021 · GECCO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 actor-critic 的 policy-gradient operator 辅助 MAP-Elites。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证明 QD 与 RL 可以通过新 operator 融合，但原任务是神经控制器，不可直接类推 AST。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gradient operator 的适用表示、replay 数据和可复现性。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7A5A00"/>
          <w:sz w:val="18"/>
        </w:rPr>
        <w:t xml:space="preserve">R10  [C]  </w:t>
      </w:r>
      <w:hyperlink r:id="rId48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Diversity Policy Gradient for Sample Efficient Quality-Diversity Optimization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Pierrot et al. · 2022 · GECCO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把多样性目标纳入 policy gradient，提高 QD 样本效率。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为未来 neural/RL 与 DP archive 联合提供方法桥梁。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多样性梯度如何定义；是否会牺牲可解释公式。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R11  [B]  </w:t>
      </w:r>
      <w:hyperlink r:id="rId49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Flow Network Based Generative Models for Non-Iterative Diverse Candidate Generation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Bengio et al. · 2021 · NeurIPS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GFlowNet 学习按 reward 比例采样多模态高价值对象，而非只收敛到单一最优。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第二代可把 FormulaRealization/IdeaGraph 视为组合对象，追求高质且多样的候选分布。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状态等价、trajectory 合并、稀疏 reward 和有效 reward shaping。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7A5A00"/>
          <w:sz w:val="18"/>
        </w:rPr>
        <w:t xml:space="preserve">R12  [C]  </w:t>
      </w:r>
      <w:hyperlink r:id="rId50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Proximal Policy Optimization Algorithms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Schulman et al. · 2017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以 clipped objective 稳定策略梯度更新。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仅作为 RL 基础；当前 evaluator 稀疏且昂贵，不足以直接支持端到端 PPO。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on-policy 成本、reward hacking 与离线/真实回测隔离。</w:t>
      </w:r>
    </w:p>
    <w:p>
      <w:pPr>
        <w:spacing w:before="20" w:after="60"/>
        <w:pBdr>
          <w:bottom w:val="single" w:sz="4" w:space="2" w:color="E4E8EE"/>
        </w:pBdr>
      </w:pPr>
    </w:p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4. Quant Research、LLM 因子挖掘与研究智能体</w:t>
      </w:r>
    </w:p>
    <w:p>
      <w:pPr>
        <w:keepLines w:val="0"/>
        <w:spacing w:before="0" w:after="120" w:line="283" w:lineRule="auto"/>
      </w:pPr>
      <w:r>
        <w:rPr>
          <w:rFonts w:ascii="Noto Sans SC" w:hAnsi="Noto Sans SC" w:eastAsia="Noto Sans SC" w:cs="Noto Sans SC"/>
          <w:color w:val="5C6670"/>
          <w:sz w:val="19"/>
        </w:rPr>
        <w:t>对应第一代 Agent + DP + evaluator + research memory，以及第二代 Idea/Mechanism 与 FormulaRealization 解耦、研究轨迹、技能记忆和多智能体协作。</w:t>
      </w: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Q01  [A]  </w:t>
      </w:r>
      <w:hyperlink r:id="rId51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AlphaEval: A Comprehensive and Efficient Evaluation Framework for Formula Alpha Mining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Ding et al. · 2025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建立公式 Alpha 的效果、稳健性、冗余与效率评价框架。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与官方 hard gate、相关性、IC/ICIR、null、稳定性、行为诊断直接对接。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哪些是 admission gate，哪些只能是研究诊断；共同定义必须冻结。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Q02  [A]  </w:t>
      </w:r>
      <w:hyperlink r:id="rId52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AlphaAgent: LLM-Driven Alpha Mining with Regularized Exploration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Tang et al. · 2025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 LLM 代理生成/修正 Alpha，并通过正则化控制探索。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 Agent 研究导演与受约束 formula realization，不应让 LLM 越过 evaluator。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提示词与工具契约、去冗余、成本和结果可重复性。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Q03  [A]  </w:t>
      </w:r>
      <w:hyperlink r:id="rId53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AlphaForge: A Framework to Mine and Dynamically Combine Formulaic Alpha Factors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Shi et al. · 2024 · AAAI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联合挖掘并动态组合公式因子，强调集合协同与市场变化。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与 accepted pool、残差/正交增量搜索和后续组合层直接相关。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单因子评价与集合评价的分离；动态组合是否引入泄漏。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Q04  [A]  </w:t>
      </w:r>
      <w:hyperlink r:id="rId54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R&amp;D-Agent-Quant: A Multi-Agent Framework for Data-Centric Factor Modeling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Li et al. · 2025 · NeurIPS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让多个研究角色围绕数据、模型、反馈与实验循环自动改进量化方案。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是第一代/第二代 auto-research 编排与失败驱动迭代的重要直接参照。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实验循环的可证伪性、角色边界、经验复用和 benchmark 是否泄漏。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Q05  [A]  </w:t>
      </w:r>
      <w:hyperlink r:id="rId55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AlphaSchema: Exploring the Space of Trading Semantics for LLM-Based Alpha Mining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Yi et al. · 2026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先搜索 Event/Context/Qualities/Direction/Output 组成的语义 schema，再让 LLM 实现公式。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与第二代 IdeaCard/IdeaSignature/FormulaRealization 解耦几乎一一对应。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语义空间覆盖、surrogate over semantics、同一 schema 多实现的方差。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Q06  [A]  </w:t>
      </w:r>
      <w:hyperlink r:id="rId56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FactorMiner: A Self-Evolving Agent with Skills and Experience Memory for Financial Alpha Discovery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Wang et al. · 2026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用模块化技能与结构化经验记忆执行 retrieve–generate–evaluate–distill 循环。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直接对应失败证据库、研究记忆、skill 化工具与相关性红海。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失败约束如何蒸馏、何时遗忘、记忆如何避免自我强化偏差。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Q07  [A]  </w:t>
      </w:r>
      <w:hyperlink r:id="rId57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QuantaAlpha: An Evolutionary Framework for LLM-Driven Alpha Mining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Han et al. · 2026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把完整研究运行视为 trajectory，对低质步骤做定向变异并重组高价值片段。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 auto-research 从公式变异升级到研究策略/轨迹变异。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如何定位失败步骤、trajectory crossover 的因果归因和复杂度控制。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Q08  [A]  </w:t>
      </w:r>
      <w:hyperlink r:id="rId58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AlphaCrafter: Harnessing Multi-Agent Workflows for Cross-Sectional Quantitative Trading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Yuan et al. · 2026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用可编程 harness 约束多智能体流程、执行语义和验证机制。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与自定义 Route1-DP autoresearch skill、多子 Agent 角色分工和可审计 Goal 最接近。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harness 约束、跨模型方差、失败恢复和最终责任归属。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Q09  [B]  </w:t>
      </w:r>
      <w:hyperlink r:id="rId59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FactorMAD: Multi-Agent Debate for Interpretable Financial Factor Discovery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Duan, Zhang, Li · 2025 · ICAIF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通过多 Agent 辩论生成、质疑和修正可解释因子假设。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适合第二代 Idea Graph 的机制审查与竞争假设，而不是并发乱跑 FSIM。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辩论是否产生真正异质假设；裁判是否受共同偏见影响。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Q10  [A]  </w:t>
      </w:r>
      <w:hyperlink r:id="rId60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AlphaEvolve: A Coding Agent for Scientific and Algorithmic Discovery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Novikov et al. · 2025 · 技术报告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 LLM 生成程序变体、自动评价并持续进化 codebase。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是 12–16 小时 Goal 中‘算法工程师 + evaluator + winner-carry-forward’范式的核心参考。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可编辑范围、评价器可靠性、并行岛与如何从失败生成结构性新 idea。</w:t>
      </w:r>
    </w:p>
    <w:p>
      <w:pPr>
        <w:spacing w:before="20" w:after="60"/>
        <w:pBdr>
          <w:bottom w:val="single" w:sz="4" w:space="2" w:color="E4E8EE"/>
        </w:pBdr>
      </w:pPr>
    </w:p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5. AI Research、Auto Research 与多智能体科学发现</w:t>
      </w:r>
    </w:p>
    <w:p>
      <w:pPr>
        <w:keepLines w:val="0"/>
        <w:spacing w:before="0" w:after="120" w:line="283" w:lineRule="auto"/>
      </w:pPr>
      <w:r>
        <w:rPr>
          <w:rFonts w:ascii="Noto Sans SC" w:hAnsi="Noto Sans SC" w:eastAsia="Noto Sans SC" w:cs="Noto Sans SC"/>
          <w:color w:val="5C6670"/>
          <w:sz w:val="19"/>
        </w:rPr>
        <w:t>这一组回答‘失败实验如何启发新 idea、如何形成可证伪实验、如何让多个 Agent 提高吞吐而不稀释科学有效性’。</w:t>
      </w: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A01  [A]  </w:t>
      </w:r>
      <w:hyperlink r:id="rId61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The AI Scientist: Towards Fully Automated Open-Ended Scientific Discovery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Lu et al. · 2024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端到端执行 idea 生成、实验、写作和评审。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提供长任务基本循环，但其开放式自由度高于当前量化 Goal 可接受范围。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idea novelty、实验预算、review 自洽偏差和失败停止条件。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A02  [A]  </w:t>
      </w:r>
      <w:hyperlink r:id="rId62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The AI Scientist-v2: Workshop-Level Automated Scientific Discovery via Agentic Tree Search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Yamada et al. · 2025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以 agentic tree search 探索研究分支并自动执行实验。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最适合借鉴 failure→hypothesis tree→最小判别实验→分支淘汰。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分支价值估计、cheap tweak 陷阱、重复实验与资源分配。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A03  [A]  </w:t>
      </w:r>
      <w:hyperlink r:id="rId63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MLAgentBench: Evaluating Language Agents on Machine Learning Experimentation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Huang et al. · 2024 · ICML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评估 Agent 阅读代码、提出修改、运行实验和提高指标的能力。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用于审视 Codex Goal 是否真的做算法研究，而非只完成审计和琐碎调参。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成功指标、基线复现、实验日志与超时后归因。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A04  [B]  </w:t>
      </w:r>
      <w:hyperlink r:id="rId64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Agent Laboratory: Using LLM Agents as Research Assistants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Schmidgall et al. · 2025 · 预印本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以多个专业 Agent 分工完成文献、实验和报告。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对应诊断、构思、实现、实验、验证的子 Agent 分工。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哪些工作可真正并行；共享工作区冲突与主 Agent 责任。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A05  [A]  </w:t>
      </w:r>
      <w:hyperlink r:id="rId65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ResearchAgent: Iterative Research Idea Generation over Scientific Literature with Large Language Models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Baek et al. · 2024 · NAACL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从文献与反馈迭代生成研究问题和方法。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可用于把失败漏斗映射到机制假设，而不是只调一个超参数。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文献证据如何进入 idea；新颖性与可执行性如何共同评分。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A06  [A]  </w:t>
      </w:r>
      <w:hyperlink r:id="rId66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Towards an AI Co-Scientist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Gottweis et al. · 2025 · 技术报告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用多 Agent 生成、批判、排序和演化科学假设。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对应第二代机制图谱、多角色互审和竞争性因果归因。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proposal ranking、tournament/evolution、human-in-the-loop 审批点。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A07  [A]  </w:t>
      </w:r>
      <w:hyperlink r:id="rId67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Reflexion: Language Agents with Verbal Reinforcement Learning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Shinn et al. · 2023 · NeurIPS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把失败轨迹总结为语言反馈并存入 episodic memory。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对应 Goal 的失败复盘、禁重复机制与经验记忆。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反思是否基于证据；错误自解释如何被验证器纠正。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A08  [B]  </w:t>
      </w:r>
      <w:hyperlink r:id="rId68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Self-Refine: Iterative Refinement with Self-Feedback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Madaan et al. · 2023 · NeurIPS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同一模型反复生成反馈并改进输出。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可用于代码/实验方案局部修正，但不能替代独立 evaluator。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自反馈同源偏差、何时停止和外部证据注入。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A09  [B]  </w:t>
      </w:r>
      <w:hyperlink r:id="rId69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Voyager: An Open-Ended Embodied Agent with Large Language Models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Wang et al. · 2023 · TMLR 论文 / arXiv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通过自动课程和可复用技能库持续扩展能力。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为量化 autoresearch 的技能积累、curriculum 与复用提供工程隐喻。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技能验收、版本化、组合冲突和旧技能退役。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A10  [A]  </w:t>
      </w:r>
      <w:hyperlink r:id="rId70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Mathematical Discoveries from Program Search with Large Language Models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Romera-Paredes et al. · 2024 · Nature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FunSearch 让 LLM 产生程序变体，由精确 evaluator 选择并进化。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与 DP 算法代码变体 + 冻结 FSIM/evaluator 的闭环高度同构。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evaluator 的决定性、island 模型、best-program prompt 与污染防护。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7A5A00"/>
          <w:sz w:val="18"/>
        </w:rPr>
        <w:t xml:space="preserve">A11  [C]  </w:t>
      </w:r>
      <w:hyperlink r:id="rId71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Discovering Faster Matrix Multiplication Algorithms with Reinforcement Learning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Fawzi et al. · 2022 · Nature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AlphaTensor 把算法发现建模为游戏并用深度 RL 搜索。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展示算法发现与可执行验证结合的上限；当前不宜直接移植其 RL 成本结构。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状态/动作表示、精确验证、训练成本与迁移性。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A12  [A]  </w:t>
      </w:r>
      <w:hyperlink r:id="rId72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An AI System to Help Scientists Write Expert-Level Empirical Software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Google Research et al. · 2026 · Nature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让 Agent 面向真实科学代码库迭代修改，并以实验结果筛选。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与 Codex 在现有 Route1-DP 基础设施上做受约束长任务最接近。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软件修改的科学归因、测试与实验双重验收、回滚和人工审阅。</w:t>
      </w:r>
    </w:p>
    <w:p>
      <w:pPr>
        <w:spacing w:before="20" w:after="60"/>
        <w:pBdr>
          <w:bottom w:val="single" w:sz="4" w:space="2" w:color="E4E8EE"/>
        </w:pBdr>
      </w:pPr>
    </w:p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6. 回测过拟合、数据窥探与多重检验</w:t>
      </w:r>
    </w:p>
    <w:p>
      <w:pPr>
        <w:keepLines w:val="0"/>
        <w:spacing w:before="0" w:after="120" w:line="283" w:lineRule="auto"/>
      </w:pPr>
      <w:r>
        <w:rPr>
          <w:rFonts w:ascii="Noto Sans SC" w:hAnsi="Noto Sans SC" w:eastAsia="Noto Sans SC" w:cs="Noto Sans SC"/>
          <w:color w:val="5C6670"/>
          <w:sz w:val="19"/>
        </w:rPr>
        <w:t>这些论文不是每个候选的硬门，而是对‘一轮/一个版本尝试了多少策略’进行版本级风险诊断，防止 auto research 把搜索次数误当科学进步。</w:t>
      </w: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E01  [A]  </w:t>
      </w:r>
      <w:hyperlink r:id="rId73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The Probability of Backtest Overfitting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Bailey, Borwein, López de Prado, Zhu · 2014 · 研究论文 / SSRN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用组合对称交叉验证估计最佳回测策略在样本外失效的概率。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适用于 Goal/版本级实验台账，评估大量 challenger 选择偏差。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独立策略数、组合切分、PBO 与搜索预算的关系。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E02  [A]  </w:t>
      </w:r>
      <w:hyperlink r:id="rId74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The Deflated Sharpe Ratio: Correcting for Selection Bias, Backtest Overfitting and Non-Normality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Bailey, López de Prado · 2014 · 研究论文 / SSRN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根据尝试次数、偏度和峰度对 Sharpe 显著性去膨胀。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用于版本级 champion 可信度，不应用于偷偷改写既定 hard gate。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有效独立试验数、非正态收益和策略相关性。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E03  [A]  </w:t>
      </w:r>
      <w:hyperlink r:id="rId75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 Reality Check for Data Snooping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Halbert White · 2000 · Econometrica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检验在大量模型中挑出的最佳模型是否真正优于基准。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是 auto research 多轮筛选后的统计底线。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bootstrap 依赖结构、候选宇宙与 benchmark 预注册。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E04  [B]  </w:t>
      </w:r>
      <w:hyperlink r:id="rId76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A Test for Superior Predictive Ability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Peter R. Hansen · 2005 · 期刊论文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SPA 检验改进 Reality Check 在劣质模型很多时的功效。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适合比较一批 DP/NN/RL challenger 与 champion。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loss differential、studentization、block bootstrap。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E05  [A]  </w:t>
      </w:r>
      <w:hyperlink r:id="rId77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… and the Cross-Section of Expected Returns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Harvey, Liu, Zhu · 2016 · RFS 论文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讨论因子动物园中的多重检验与更高显著性门槛。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提醒第二代扩展数据源和机制图谱时控制 false discovery。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有效因子数、相关检验、publication/search bias 与经济先验。</w:t>
      </w:r>
    </w:p>
    <w:p>
      <w:pPr>
        <w:spacing w:before="20" w:after="60"/>
        <w:pBdr>
          <w:bottom w:val="single" w:sz="4" w:space="2" w:color="E4E8EE"/>
        </w:pBdr>
      </w:pPr>
    </w:p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7. 国内券商研报与工程化行业参考</w:t>
      </w:r>
    </w:p>
    <w:p>
      <w:pPr>
        <w:keepLines w:val="0"/>
        <w:spacing w:before="0" w:after="120" w:line="283" w:lineRule="auto"/>
      </w:pPr>
      <w:r>
        <w:rPr>
          <w:rFonts w:ascii="Noto Sans SC" w:hAnsi="Noto Sans SC" w:eastAsia="Noto Sans SC" w:cs="Noto Sans SC"/>
          <w:color w:val="5C6670"/>
          <w:sz w:val="19"/>
        </w:rPr>
        <w:t>行业研报通常更贴近 A 股数据与实施细节，但公开链接多为摘要或转载。阅读时应优先核对原 PDF、数据区间、交易成本和样本外定义。</w:t>
      </w: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I01  [A]  </w:t>
      </w:r>
      <w:hyperlink r:id="rId78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因子选股系列之九十：DFQ 遗传规划价量因子挖掘系统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东方证券，杨怡玲、刘静涵 · 2023 · 券商研报 / 公开摘要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以遗传规划自动构造价量因子，并讨论搜索空间与筛选。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是 Route1-DP 国内工程对照，也是此前 DP 文献调研已引用研报。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表达式表示、适应度、去重、交易成本和 OOS 口径。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I02  [A]  </w:t>
      </w:r>
      <w:hyperlink r:id="rId79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遗传规划因子挖掘的 GPU 加速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华泰证券 · 2024 · 券商研报 / 公开转载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讨论 GP 因子挖掘在 GPU 上的并行加速与工程实现。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与 FSIM 吞吐、批量评价、完整代预算和资源管理直接相关。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加速对象究竟是信号计算还是选择；并行是否改变随机轨迹。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I03  [B]  </w:t>
      </w:r>
      <w:hyperlink r:id="rId80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遗传规划：模型、优化与应用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浙商证券 · 2023 · 券商研报 / 公开索引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从模型、算子和量化应用角度综述遗传规划。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适合作为 GP 中文入门与本地架构术语对照。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变异/交叉、约束、过拟合和可解释性。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I04  [A]  </w:t>
      </w:r>
      <w:hyperlink r:id="rId81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短周期因子的挖掘与组合构建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光大证券 · 2019 · 券商研报 / 公开摘要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系统挖掘短周期价量因子并构建 Alpha17 组合。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与 5 分钟字段、短周期 horizon、换手和组合层最贴近。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交易成本、调仓频率、样本期、因子半衰期与组合冗余。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1F5D42"/>
          <w:sz w:val="18"/>
        </w:rPr>
        <w:t xml:space="preserve">I05  [A]  </w:t>
      </w:r>
      <w:hyperlink r:id="rId82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DFQ-TRA：多交易模式学习因子挖掘系统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东方证券 · 2023 · 券商研报 / 公开转载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把 TRA 多交易模式学习用于 A 股因子挖掘。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是 context/router 与 neural subsystem 的国内落地参照。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原论文与研报改动点、数据泄漏防护、种子稳定性。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I06  [B]  </w:t>
      </w:r>
      <w:hyperlink r:id="rId83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DFQ-HIST：添加图信息的选股因子挖掘系统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东方证券 · 2024 · 券商研报 / 公开摘要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融合预定义与隐藏概念图、时序编码和双重残差。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与第二代 Idea Graph、神经图表征和 residual 组件直接相关。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概念图来源、概念不完备、隐藏关系和随机种子一致性。</w:t>
      </w:r>
    </w:p>
    <w:p>
      <w:pPr>
        <w:spacing w:before="20" w:after="60"/>
        <w:pBdr>
          <w:bottom w:val="single" w:sz="4" w:space="2" w:color="E4E8EE"/>
        </w:pBdr>
      </w:pPr>
    </w:p>
    <w:p>
      <w:pPr>
        <w:keepNext/>
        <w:spacing w:before="80" w:after="40"/>
      </w:pPr>
      <w:r>
        <w:rPr>
          <w:rFonts w:ascii="Noto Sans SC" w:hAnsi="Noto Sans SC" w:eastAsia="Noto Sans SC" w:cs="Noto Sans SC"/>
          <w:b/>
          <w:color w:val="2E74B5"/>
          <w:sz w:val="18"/>
        </w:rPr>
        <w:t xml:space="preserve">I07  [B]  </w:t>
      </w:r>
      <w:hyperlink r:id="rId83">
        <w:r>
          <w:rPr>
            <w:rFonts w:ascii="Noto Sans SC" w:hAnsi="Noto Sans SC" w:eastAsia="Noto Sans SC" w:cs="Noto Sans SC"/>
            <w:color w:val="1F4D78"/>
            <w:sz w:val="20"/>
            <w:szCs w:val="20"/>
            <w:b/>
          </w:rPr>
          <w:t>DFQ 强化学习因子组合挖掘系统</w:t>
        </w:r>
      </w:hyperlink>
    </w:p>
    <w:p>
      <w:pPr>
        <w:keepNext/>
        <w:spacing w:before="0" w:after="40"/>
      </w:pPr>
      <w:r>
        <w:rPr>
          <w:rFonts w:ascii="Noto Sans SC" w:hAnsi="Noto Sans SC" w:eastAsia="Noto Sans SC" w:cs="Noto Sans SC"/>
          <w:i/>
          <w:color w:val="5C6670"/>
          <w:sz w:val="16"/>
        </w:rPr>
        <w:t>东方证券 · 2023 · 券商研报 / 系列索引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方法：</w:t>
      </w:r>
      <w:r>
        <w:rPr>
          <w:rFonts w:ascii="Noto Sans SC" w:hAnsi="Noto Sans SC" w:eastAsia="Noto Sans SC" w:cs="Noto Sans SC"/>
          <w:color w:val="111827"/>
          <w:sz w:val="18"/>
        </w:rPr>
        <w:t>以强化学习在候选因子间构造组合策略。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系统映射：</w:t>
      </w:r>
      <w:r>
        <w:rPr>
          <w:rFonts w:ascii="Noto Sans SC" w:hAnsi="Noto Sans SC" w:eastAsia="Noto Sans SC" w:cs="Noto Sans SC"/>
          <w:color w:val="111827"/>
          <w:sz w:val="18"/>
        </w:rPr>
        <w:t>用于评估 RL 应放在因子生成、组合还是执行层；目前更适合作为后续联合系统参考。</w:t>
      </w:r>
    </w:p>
    <w:p>
      <w:pPr>
        <w:keepLines/>
        <w:spacing w:before="0" w:after="30" w:line="264" w:lineRule="auto"/>
        <w:ind w:left="173" w:hanging="173"/>
      </w:pPr>
      <w:r>
        <w:rPr>
          <w:rFonts w:ascii="Noto Sans SC" w:hAnsi="Noto Sans SC" w:eastAsia="Noto Sans SC" w:cs="Noto Sans SC"/>
          <w:b/>
          <w:color w:val="1F4D78"/>
          <w:sz w:val="18"/>
        </w:rPr>
        <w:t>研读重点：</w:t>
      </w:r>
      <w:r>
        <w:rPr>
          <w:rFonts w:ascii="Noto Sans SC" w:hAnsi="Noto Sans SC" w:eastAsia="Noto Sans SC" w:cs="Noto Sans SC"/>
          <w:color w:val="111827"/>
          <w:sz w:val="18"/>
        </w:rPr>
        <w:t>reward 是否使用未来信息、动作空间和与 AlphaGen 的差异。</w:t>
      </w:r>
    </w:p>
    <w:p>
      <w:pPr>
        <w:spacing w:before="20" w:after="60"/>
        <w:pBdr>
          <w:bottom w:val="single" w:sz="4" w:space="2" w:color="E4E8EE"/>
        </w:pBdr>
      </w:pPr>
    </w:p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8. 面向当前系统的综合判断</w:t>
      </w:r>
    </w:p>
    <w:p>
      <w:pPr>
        <w:pStyle w:val="Heading2"/>
        <w:keepNext/>
      </w:pPr>
      <w:r>
        <w:rPr>
          <w:rFonts w:ascii="Noto Sans SC" w:hAnsi="Noto Sans SC" w:eastAsia="Noto Sans SC" w:cs="Noto Sans SC"/>
          <w:b/>
          <w:color w:val="2E74B5"/>
          <w:sz w:val="26"/>
        </w:rPr>
        <w:t>8.1 第一代系统最应吸收什么</w:t>
      </w:r>
    </w:p>
    <w:p>
      <w:pPr>
        <w:keepLines w:val="0"/>
        <w:spacing w:before="0" w:after="80" w:line="283" w:lineRule="auto"/>
      </w:pPr>
      <w:r>
        <w:rPr>
          <w:rFonts w:ascii="Noto Sans SC" w:hAnsi="Noto Sans SC" w:eastAsia="Noto Sans SC" w:cs="Noto Sans SC"/>
          <w:color w:val="111827"/>
          <w:sz w:val="20"/>
        </w:rPr>
        <w:t>第一代的关键不是继续扩大随机 GP，而是把 D03/D04 的约束群体、D06/R04 的真实 credit、D08/D09 的昂贵评价分配，以及 E01–E05 的版本级数据窥探控制合到同一套证据链中。当前 V/E/P 统一 plumbing 已经为此提供了可组合边界。</w:t>
      </w:r>
    </w:p>
    <w:p>
      <w:pPr>
        <w:pStyle w:val="Heading2"/>
        <w:keepNext/>
      </w:pPr>
      <w:r>
        <w:rPr>
          <w:rFonts w:ascii="Noto Sans SC" w:hAnsi="Noto Sans SC" w:eastAsia="Noto Sans SC" w:cs="Noto Sans SC"/>
          <w:b/>
          <w:color w:val="2E74B5"/>
          <w:sz w:val="26"/>
        </w:rPr>
        <w:t>8.2 第二代系统最应吸收什么</w:t>
      </w:r>
    </w:p>
    <w:p>
      <w:pPr>
        <w:keepLines w:val="0"/>
        <w:spacing w:before="0" w:after="80" w:line="283" w:lineRule="auto"/>
      </w:pPr>
      <w:r>
        <w:rPr>
          <w:rFonts w:ascii="Noto Sans SC" w:hAnsi="Noto Sans SC" w:eastAsia="Noto Sans SC" w:cs="Noto Sans SC"/>
          <w:color w:val="111827"/>
          <w:sz w:val="20"/>
        </w:rPr>
        <w:t>第二代最有价值的主线是：借鉴 AlphaSchema 将 Idea/Mechanism 与公式实现解耦；借鉴 FactorMiner/Reflexion 建立可验证的成功与失败记忆；借鉴 TRA/HIST 对 context 与关系结构建模；借鉴 SAIL/BOP-Elites/LambdaMART 只对 Full FSIM 进行排序与预算分配。神经模型和 LLM 均不应获得绕过官方 evaluator 的裁决权。</w:t>
      </w:r>
    </w:p>
    <w:p>
      <w:pPr>
        <w:pStyle w:val="Heading2"/>
        <w:keepNext/>
      </w:pPr>
      <w:r>
        <w:rPr>
          <w:rFonts w:ascii="Noto Sans SC" w:hAnsi="Noto Sans SC" w:eastAsia="Noto Sans SC" w:cs="Noto Sans SC"/>
          <w:b/>
          <w:color w:val="2E74B5"/>
          <w:sz w:val="26"/>
        </w:rPr>
        <w:t>8.3 RL 什么时候才值得进入</w:t>
      </w:r>
    </w:p>
    <w:p>
      <w:pPr>
        <w:keepLines w:val="0"/>
        <w:spacing w:before="0" w:after="80" w:line="283" w:lineRule="auto"/>
      </w:pPr>
      <w:r>
        <w:rPr>
          <w:rFonts w:ascii="Noto Sans SC" w:hAnsi="Noto Sans SC" w:eastAsia="Noto Sans SC" w:cs="Noto Sans SC"/>
          <w:color w:val="111827"/>
          <w:sz w:val="20"/>
        </w:rPr>
        <w:t>只有当 operator/emitter 的上下文、动作、延迟回报和真实执行次数已经稳定记录，并且 deterministic router/UCB 形成可复现基线后，LinUCB、non-stationary bandit 或更重的 RL 才有可辨识增量。PGA-MAP-Elites 与 AlphaSAGE 是未来桥梁，不是当前直接实现清单。</w:t>
      </w:r>
    </w:p>
    <w:p>
      <w:pPr>
        <w:pStyle w:val="Heading2"/>
        <w:keepNext/>
      </w:pPr>
      <w:r>
        <w:rPr>
          <w:rFonts w:ascii="Noto Sans SC" w:hAnsi="Noto Sans SC" w:eastAsia="Noto Sans SC" w:cs="Noto Sans SC"/>
          <w:b/>
          <w:color w:val="2E74B5"/>
          <w:sz w:val="26"/>
        </w:rPr>
        <w:t>8.4 Auto Research 的成败判据</w:t>
      </w:r>
    </w:p>
    <w:p>
      <w:pPr>
        <w:keepLines w:val="0"/>
        <w:spacing w:before="0" w:after="80" w:line="283" w:lineRule="auto"/>
      </w:pPr>
      <w:r>
        <w:rPr>
          <w:rFonts w:ascii="Noto Sans SC" w:hAnsi="Noto Sans SC" w:eastAsia="Noto Sans SC" w:cs="Noto Sans SC"/>
          <w:color w:val="111827"/>
          <w:sz w:val="20"/>
        </w:rPr>
        <w:t>长任务不能只累计实验数。每轮失败必须归入可行动机制：表示错误、供给不足、变异破坏、credit 错配、评价噪声、相关性红海或计算瓶颈；随后至少形成两个竞争解释，用最小判别实验淘汰其一。ResearchAgent、AI Scientist-v2、AlphaEvolve 与 FunSearch 的共同点，是把 idea 质量建立在可执行评价器和分支淘汰上。</w:t>
      </w:r>
    </w:p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9. 不应直接照搬的做法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9B1C1C"/>
                <w:sz w:val="17"/>
              </w:rPr>
              <w:t>高风险做法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17"/>
              </w:rPr>
              <w:t>本系统约束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9B1C1C"/>
                <w:sz w:val="17"/>
              </w:rPr>
              <w:t>外部 OOS 结果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论文中的 OOS 区间、市场和交易成本与本地合同不同，不能作为本地晋级证据。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9B1C1C"/>
                <w:sz w:val="17"/>
              </w:rPr>
              <w:t>LLM 逻辑评分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可用于生成、解释和排序研究假设，不得替代 hard gate、相关性与官方 admission。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9B1C1C"/>
                <w:sz w:val="17"/>
              </w:rPr>
              <w:t>Surrogate 硬淘汰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早期只用于排序/资源分配；没有校准召回率前，不应拒绝可能的 Full 候选。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9B1C1C"/>
                <w:sz w:val="17"/>
              </w:rPr>
              <w:t>RL 端到端接管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稀疏、延迟且昂贵的 FSIM reward 很容易导致 reward hacking 和高方差。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9B1C1C"/>
                <w:sz w:val="17"/>
              </w:rPr>
              <w:t>不完整代状态更新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任何 canary/暂停都不得提交 archive、reward、population、parent、RNG 或 checkpoint。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9B1C1C"/>
                <w:sz w:val="17"/>
              </w:rPr>
              <w:t>并行即效率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子 Agent 可并行诊断/实现/验证；共享搜索状态和 FSIM arm 必须受唯一编排器与完整代合同控制。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9B1C1C"/>
                <w:sz w:val="17"/>
              </w:rPr>
              <w:t>结果驱动改口径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共同指标、zero-baseline、behavior descriptor 与 promotion 规则必须在实验前冻结。</w:t>
            </w:r>
          </w:p>
        </w:tc>
      </w:tr>
    </w:tbl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10. 个人研读记录模板</w:t>
      </w:r>
    </w:p>
    <w:p>
      <w:pPr>
        <w:keepLines w:val="0"/>
        <w:spacing w:before="0" w:after="80" w:line="283" w:lineRule="auto"/>
      </w:pPr>
      <w:r>
        <w:rPr>
          <w:rFonts w:ascii="Noto Sans SC" w:hAnsi="Noto Sans SC" w:eastAsia="Noto Sans SC" w:cs="Noto Sans SC"/>
          <w:color w:val="111827"/>
          <w:sz w:val="20"/>
        </w:rPr>
        <w:t>建议每篇论文只写一页笔记，并强制回答下列问题。这样读完后可以直接进入架构讨论或 Goal 设计，而不是留下摘要堆积。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67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17"/>
              </w:rPr>
              <w:t>#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0B2545"/>
                <w:sz w:val="17"/>
              </w:rPr>
              <w:t>填写问题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1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研究问题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作者真正要解决的瓶颈是什么？与本地已观察证据是否同类？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2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搜索对象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公式、策略、研究轨迹、神经参数、Idea schema，还是组合？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3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评价信号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reward/fitness 来自哪里？是否稀疏、延迟、噪声或可被投机？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4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多样性机制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descriptor、集合惩罚、熵、GFlowNet、图结构还是多 Agent 竞争？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5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Credit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哪个 action/operator/agent 获得信用？是否存在跨阶段归因错配？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6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数据边界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训练/验证/OOS 如何分割？是否存在自适应搜索后的 data snooping？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7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计算成本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真实昂贵评价数是多少？并行是否改变状态与可复现性？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8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可复用组件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能进入 V、E、P、Idea Graph、surrogate、neural、RL 或 memory 哪一层？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9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不兼容假设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论文依赖的市场、数据、表示或 evaluator 与本地哪里不一致？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10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/>
                <w:color w:val="1F4D78"/>
                <w:sz w:val="17"/>
              </w:rPr>
              <w:t>最小本地实验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SC" w:hAnsi="Noto Sans SC" w:eastAsia="Noto Sans SC" w:cs="Noto Sans SC"/>
                <w:b w:val="0"/>
                <w:color w:val="111827"/>
                <w:sz w:val="17"/>
              </w:rPr>
              <w:t>最小可证伪 challenger 是什么？成功/失败各会更新哪个结论？</w:t>
            </w:r>
          </w:p>
        </w:tc>
      </w:tr>
    </w:tbl>
    <w:p>
      <w:pPr>
        <w:pStyle w:val="Heading1"/>
        <w:keepNext/>
      </w:pPr>
      <w:r>
        <w:rPr>
          <w:rFonts w:ascii="Noto Sans SC" w:hAnsi="Noto Sans SC" w:eastAsia="Noto Sans SC" w:cs="Noto Sans SC"/>
          <w:b/>
          <w:color w:val="2E74B5"/>
          <w:sz w:val="32"/>
        </w:rPr>
        <w:t>11. 维护规则</w:t>
      </w:r>
    </w:p>
    <w:p>
      <w:pPr>
        <w:keepLines w:val="0"/>
        <w:spacing w:before="0" w:after="80" w:line="283" w:lineRule="auto"/>
      </w:pPr>
      <w:r>
        <w:rPr>
          <w:rFonts w:ascii="Noto Sans SC" w:hAnsi="Noto Sans SC" w:eastAsia="Noto Sans SC" w:cs="Noto Sans SC"/>
          <w:color w:val="111827"/>
          <w:sz w:val="19"/>
        </w:rPr>
        <w:t>这份地图按季度更新。新增条目须至少满足一项：提出新搜索表示；提高昂贵评价的样本效率；提供可验证的 credit/失败归因；建立可靠的多 Agent/auto-research 机制；或直接覆盖 A 股短周期因子工程。被复现否定、与本地边界不兼容或仅重复旧方法者应降级，而非永久保留为‘必读’。</w:t>
      </w:r>
    </w:p>
    <w:p>
      <w:pPr>
        <w:keepLines w:val="0"/>
        <w:spacing w:before="0" w:after="0" w:line="283" w:lineRule="auto"/>
      </w:pPr>
      <w:r>
        <w:rPr>
          <w:rFonts w:ascii="Noto Sans SC" w:hAnsi="Noto Sans SC" w:eastAsia="Noto Sans SC" w:cs="Noto Sans SC"/>
          <w:color w:val="5C6670"/>
          <w:sz w:val="17"/>
        </w:rPr>
        <w:t>链接优先指向 arXiv、出版社或作者/机构官方页面；国内券商研报仅列公开索引/摘要，原文请通过合法机构数据库获取。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 w:cs="Noto Sans SC"/>
        <w:color w:val="5C6670"/>
        <w:sz w:val="16"/>
      </w:rPr>
      <w:t xml:space="preserve">2026-08-20  ·  </w:t>
    </w:r>
    <w:r>
      <w:rPr>
        <w:rFonts w:ascii="Noto Sans SC" w:hAnsi="Noto Sans SC" w:eastAsia="Noto Sans SC" w:cs="Noto Sans SC"/>
        <w:color w:val="5C667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3" w:color="D5DCE5"/>
      </w:pBdr>
    </w:pPr>
    <w:r>
      <w:rPr>
        <w:rFonts w:ascii="Noto Sans SC" w:hAnsi="Noto Sans SC" w:eastAsia="Noto Sans SC" w:cs="Noto Sans SC"/>
        <w:b/>
        <w:color w:val="5C6670"/>
        <w:sz w:val="16"/>
      </w:rPr>
      <w:t>混合架构量化研究系统 · 论文与研报研读地图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Noto Sans SC" w:hAnsi="Noto Sans SC" w:eastAsia="Noto Sans SC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1504.04909" TargetMode="External"/><Relationship Id="rId12" Type="http://schemas.openxmlformats.org/officeDocument/2006/relationships/hyperlink" Target="https://arxiv.org/abs/1610.05729" TargetMode="External"/><Relationship Id="rId13" Type="http://schemas.openxmlformats.org/officeDocument/2006/relationships/hyperlink" Target="https://doi.org/10.1016/j.ejor.2007.06.028" TargetMode="External"/><Relationship Id="rId14" Type="http://schemas.openxmlformats.org/officeDocument/2006/relationships/hyperlink" Target="https://arxiv.org/abs/1806.04718" TargetMode="External"/><Relationship Id="rId15" Type="http://schemas.openxmlformats.org/officeDocument/2006/relationships/hyperlink" Target="https://arxiv.org/abs/1912.02400" TargetMode="External"/><Relationship Id="rId16" Type="http://schemas.openxmlformats.org/officeDocument/2006/relationships/hyperlink" Target="https://arxiv.org/abs/2007.05352" TargetMode="External"/><Relationship Id="rId17" Type="http://schemas.openxmlformats.org/officeDocument/2006/relationships/hyperlink" Target="https://arxiv.org/abs/2104.08781" TargetMode="External"/><Relationship Id="rId18" Type="http://schemas.openxmlformats.org/officeDocument/2006/relationships/hyperlink" Target="https://doi.org/10.1162/evco_a_00231" TargetMode="External"/><Relationship Id="rId19" Type="http://schemas.openxmlformats.org/officeDocument/2006/relationships/hyperlink" Target="https://arxiv.org/abs/2307.09326" TargetMode="External"/><Relationship Id="rId20" Type="http://schemas.openxmlformats.org/officeDocument/2006/relationships/hyperlink" Target="https://arxiv.org/abs/2002.08245" TargetMode="External"/><Relationship Id="rId21" Type="http://schemas.openxmlformats.org/officeDocument/2006/relationships/hyperlink" Target="https://arxiv.org/abs/2412.00896" TargetMode="External"/><Relationship Id="rId22" Type="http://schemas.openxmlformats.org/officeDocument/2006/relationships/hyperlink" Target="https://arxiv.org/abs/1905.13266" TargetMode="External"/><Relationship Id="rId23" Type="http://schemas.openxmlformats.org/officeDocument/2006/relationships/hyperlink" Target="https://arxiv.org/abs/1904.02050" TargetMode="External"/><Relationship Id="rId24" Type="http://schemas.openxmlformats.org/officeDocument/2006/relationships/hyperlink" Target="https://arxiv.org/abs/2303.06137" TargetMode="External"/><Relationship Id="rId25" Type="http://schemas.openxmlformats.org/officeDocument/2006/relationships/hyperlink" Target="https://academic.oup.com/rfs/article/33/5/2223/5758276" TargetMode="External"/><Relationship Id="rId26" Type="http://schemas.openxmlformats.org/officeDocument/2006/relationships/hyperlink" Target="https://doi.org/10.1016/j.jeconom.2020.07.009" TargetMode="External"/><Relationship Id="rId27" Type="http://schemas.openxmlformats.org/officeDocument/2006/relationships/hyperlink" Target="https://pubsonline.informs.org/doi/10.1287/mnsc.2023.4695" TargetMode="External"/><Relationship Id="rId28" Type="http://schemas.openxmlformats.org/officeDocument/2006/relationships/hyperlink" Target="https://arxiv.org/abs/1804.09314" TargetMode="External"/><Relationship Id="rId29" Type="http://schemas.openxmlformats.org/officeDocument/2006/relationships/hyperlink" Target="https://arxiv.org/abs/1805.01104" TargetMode="External"/><Relationship Id="rId30" Type="http://schemas.openxmlformats.org/officeDocument/2006/relationships/hyperlink" Target="https://arxiv.org/abs/2009.11189" TargetMode="External"/><Relationship Id="rId31" Type="http://schemas.openxmlformats.org/officeDocument/2006/relationships/hyperlink" Target="https://arxiv.org/abs/2106.12950" TargetMode="External"/><Relationship Id="rId32" Type="http://schemas.openxmlformats.org/officeDocument/2006/relationships/hyperlink" Target="https://arxiv.org/abs/2110.13716" TargetMode="External"/><Relationship Id="rId33" Type="http://schemas.openxmlformats.org/officeDocument/2006/relationships/hyperlink" Target="https://doi.org/10.1609/aaai.v38i1.27767" TargetMode="External"/><Relationship Id="rId34" Type="http://schemas.openxmlformats.org/officeDocument/2006/relationships/hyperlink" Target="https://arxiv.org/abs/2306.09862" TargetMode="External"/><Relationship Id="rId35" Type="http://schemas.openxmlformats.org/officeDocument/2006/relationships/hyperlink" Target="https://papers.nips.cc/paper/6907-lightgbm-a-highly-efficient-gradient-boosting-decision-tree" TargetMode="External"/><Relationship Id="rId36" Type="http://schemas.openxmlformats.org/officeDocument/2006/relationships/hyperlink" Target="https://www.microsoft.com/en-us/research/publication/from-ranknet-to-lambdarank-to-lambdamart-an-overview/" TargetMode="External"/><Relationship Id="rId37" Type="http://schemas.openxmlformats.org/officeDocument/2006/relationships/hyperlink" Target="https://jmlr.org/papers/v18/16-558.html" TargetMode="External"/><Relationship Id="rId38" Type="http://schemas.openxmlformats.org/officeDocument/2006/relationships/hyperlink" Target="https://arxiv.org/abs/1807.01774" TargetMode="External"/><Relationship Id="rId39" Type="http://schemas.openxmlformats.org/officeDocument/2006/relationships/hyperlink" Target="https://link.springer.com/article/10.1023/A%3A1013689704352" TargetMode="External"/><Relationship Id="rId40" Type="http://schemas.openxmlformats.org/officeDocument/2006/relationships/hyperlink" Target="https://arxiv.org/abs/1003.0146" TargetMode="External"/><Relationship Id="rId41" Type="http://schemas.openxmlformats.org/officeDocument/2006/relationships/hyperlink" Target="https://arxiv.org/abs/0805.3415" TargetMode="External"/><Relationship Id="rId42" Type="http://schemas.openxmlformats.org/officeDocument/2006/relationships/hyperlink" Target="https://doi.org/10.1145/1389095.1389272" TargetMode="External"/><Relationship Id="rId43" Type="http://schemas.openxmlformats.org/officeDocument/2006/relationships/hyperlink" Target="https://ieeexplore.ieee.org/document/6410018" TargetMode="External"/><Relationship Id="rId44" Type="http://schemas.openxmlformats.org/officeDocument/2006/relationships/hyperlink" Target="https://doi.org/10.1145/3580305.3599831" TargetMode="External"/><Relationship Id="rId45" Type="http://schemas.openxmlformats.org/officeDocument/2006/relationships/hyperlink" Target="https://arxiv.org/abs/2402.07080" TargetMode="External"/><Relationship Id="rId46" Type="http://schemas.openxmlformats.org/officeDocument/2006/relationships/hyperlink" Target="https://arxiv.org/abs/2509.25055" TargetMode="External"/><Relationship Id="rId47" Type="http://schemas.openxmlformats.org/officeDocument/2006/relationships/hyperlink" Target="https://doi.org/10.1145/3449639.3459304" TargetMode="External"/><Relationship Id="rId48" Type="http://schemas.openxmlformats.org/officeDocument/2006/relationships/hyperlink" Target="https://doi.org/10.1145/3512290.3528845" TargetMode="External"/><Relationship Id="rId49" Type="http://schemas.openxmlformats.org/officeDocument/2006/relationships/hyperlink" Target="https://arxiv.org/abs/2106.04399" TargetMode="External"/><Relationship Id="rId50" Type="http://schemas.openxmlformats.org/officeDocument/2006/relationships/hyperlink" Target="https://arxiv.org/abs/1707.06347" TargetMode="External"/><Relationship Id="rId51" Type="http://schemas.openxmlformats.org/officeDocument/2006/relationships/hyperlink" Target="https://arxiv.org/abs/2508.13174" TargetMode="External"/><Relationship Id="rId52" Type="http://schemas.openxmlformats.org/officeDocument/2006/relationships/hyperlink" Target="https://arxiv.org/abs/2502.16789" TargetMode="External"/><Relationship Id="rId53" Type="http://schemas.openxmlformats.org/officeDocument/2006/relationships/hyperlink" Target="https://arxiv.org/abs/2406.18394" TargetMode="External"/><Relationship Id="rId54" Type="http://schemas.openxmlformats.org/officeDocument/2006/relationships/hyperlink" Target="https://arxiv.org/abs/2505.15155" TargetMode="External"/><Relationship Id="rId55" Type="http://schemas.openxmlformats.org/officeDocument/2006/relationships/hyperlink" Target="https://arxiv.org/abs/2607.26642" TargetMode="External"/><Relationship Id="rId56" Type="http://schemas.openxmlformats.org/officeDocument/2006/relationships/hyperlink" Target="https://arxiv.org/abs/2602.14670" TargetMode="External"/><Relationship Id="rId57" Type="http://schemas.openxmlformats.org/officeDocument/2006/relationships/hyperlink" Target="https://arxiv.org/abs/2602.07085" TargetMode="External"/><Relationship Id="rId58" Type="http://schemas.openxmlformats.org/officeDocument/2006/relationships/hyperlink" Target="https://arxiv.org/abs/2605.05580" TargetMode="External"/><Relationship Id="rId59" Type="http://schemas.openxmlformats.org/officeDocument/2006/relationships/hyperlink" Target="https://doi.org/10.1145/3768292.3770377" TargetMode="External"/><Relationship Id="rId60" Type="http://schemas.openxmlformats.org/officeDocument/2006/relationships/hyperlink" Target="https://arxiv.org/abs/2506.13131" TargetMode="External"/><Relationship Id="rId61" Type="http://schemas.openxmlformats.org/officeDocument/2006/relationships/hyperlink" Target="https://arxiv.org/abs/2408.06292" TargetMode="External"/><Relationship Id="rId62" Type="http://schemas.openxmlformats.org/officeDocument/2006/relationships/hyperlink" Target="https://arxiv.org/abs/2504.08066" TargetMode="External"/><Relationship Id="rId63" Type="http://schemas.openxmlformats.org/officeDocument/2006/relationships/hyperlink" Target="https://arxiv.org/abs/2310.03302" TargetMode="External"/><Relationship Id="rId64" Type="http://schemas.openxmlformats.org/officeDocument/2006/relationships/hyperlink" Target="https://arxiv.org/abs/2501.04227" TargetMode="External"/><Relationship Id="rId65" Type="http://schemas.openxmlformats.org/officeDocument/2006/relationships/hyperlink" Target="https://arxiv.org/abs/2404.07738" TargetMode="External"/><Relationship Id="rId66" Type="http://schemas.openxmlformats.org/officeDocument/2006/relationships/hyperlink" Target="https://arxiv.org/abs/2502.18864" TargetMode="External"/><Relationship Id="rId67" Type="http://schemas.openxmlformats.org/officeDocument/2006/relationships/hyperlink" Target="https://arxiv.org/abs/2303.11366" TargetMode="External"/><Relationship Id="rId68" Type="http://schemas.openxmlformats.org/officeDocument/2006/relationships/hyperlink" Target="https://arxiv.org/abs/2303.17651" TargetMode="External"/><Relationship Id="rId69" Type="http://schemas.openxmlformats.org/officeDocument/2006/relationships/hyperlink" Target="https://arxiv.org/abs/2305.16291" TargetMode="External"/><Relationship Id="rId70" Type="http://schemas.openxmlformats.org/officeDocument/2006/relationships/hyperlink" Target="https://www.nature.com/articles/s41586-023-06924-6" TargetMode="External"/><Relationship Id="rId71" Type="http://schemas.openxmlformats.org/officeDocument/2006/relationships/hyperlink" Target="https://www.nature.com/articles/s41586-022-05172-4" TargetMode="External"/><Relationship Id="rId72" Type="http://schemas.openxmlformats.org/officeDocument/2006/relationships/hyperlink" Target="https://www.nature.com/articles/s41586-026-10658-6" TargetMode="External"/><Relationship Id="rId73" Type="http://schemas.openxmlformats.org/officeDocument/2006/relationships/hyperlink" Target="https://papers.ssrn.com/sol3/papers.cfm?abstract_id=2326253" TargetMode="External"/><Relationship Id="rId74" Type="http://schemas.openxmlformats.org/officeDocument/2006/relationships/hyperlink" Target="https://papers.ssrn.com/sol3/papers.cfm?abstract_id=2460551" TargetMode="External"/><Relationship Id="rId75" Type="http://schemas.openxmlformats.org/officeDocument/2006/relationships/hyperlink" Target="https://doi.org/10.1111/1468-0262.00152" TargetMode="External"/><Relationship Id="rId76" Type="http://schemas.openxmlformats.org/officeDocument/2006/relationships/hyperlink" Target="https://doi.org/10.1198/073500105000000063" TargetMode="External"/><Relationship Id="rId77" Type="http://schemas.openxmlformats.org/officeDocument/2006/relationships/hyperlink" Target="https://academic.oup.com/rfs/article/29/1/5/1843824" TargetMode="External"/><Relationship Id="rId78" Type="http://schemas.openxmlformats.org/officeDocument/2006/relationships/hyperlink" Target="https://www.fxbaogao.com/detail/3730058" TargetMode="External"/><Relationship Id="rId79" Type="http://schemas.openxmlformats.org/officeDocument/2006/relationships/hyperlink" Target="https://studylib.net/doc/27465062/20240220-61108879-%E5%8D%8E%E6%B3%B0%E8%AF%81%E5%88%B8-%E6%B7%B1%E5%BA%A6%E7%A0%94%E7%A9%B6-%E2%80%94-%E9%81%97%E4%BC%A0%E8%A7%84%E5%88%92%E5%9B%A0%E5%AD%90%E6%8C%96%E6%8E%98%E7%9A%84gpu%E5%8A%A0%E9%80%9F-2024-02-20" TargetMode="External"/><Relationship Id="rId80" Type="http://schemas.openxmlformats.org/officeDocument/2006/relationships/hyperlink" Target="https://bigquant.com/square/paper?page=1472&amp;size=20" TargetMode="External"/><Relationship Id="rId81" Type="http://schemas.openxmlformats.org/officeDocument/2006/relationships/hyperlink" Target="https://bigquant.com/wiki/doc/0wW9URDAMM" TargetMode="External"/><Relationship Id="rId82" Type="http://schemas.openxmlformats.org/officeDocument/2006/relationships/hyperlink" Target="https://www.scribd.com/document/819572177/20231114-%E4%B8%9C%E6%96%B9%E8%AF%81%E5%88%B8-%E5%9B%A0%E5%AD%90%E9%80%89%E8%82%A1%E7%B3%BB%E5%88%97%E4%B9%8B%E4%B9%9D%E5%8D%81%E4%B8%83-DFQ-TRA-%E5%A4%9A%E4%BA%A4%E6%98%93%E6%A8%A1%E5%BC%8F%E5%AD%A6%E4%B9%A0%E5%9B%A0%E5%AD%90%E6%8C%96%E6%8E%98%E7%B3%BB%E7%BB%9F" TargetMode="External"/><Relationship Id="rId83" Type="http://schemas.openxmlformats.org/officeDocument/2006/relationships/hyperlink" Target="https://www.fxbaogao.com/detail/41393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混合架构量化研究系统：论文与研报研读地图</dc:title>
  <dc:subject>Route1-DP、神经网络、强化学习、Quant Research、AI/Auto Research</dc:subject>
  <dc:creator>OpenAI Codex（为用户研究计划整理）</dc:creator>
  <cp:keywords>Route1-DP, MAP-Elites, QD, genetic programming, neural network, reinforcement learning, quant research, auto research</cp:keywords>
  <dc:description>compact_reference_guide preset; Chinese dense bibliography override.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