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A56B0"/>
          <w:sz w:val="56"/>
          <w:szCs w:val="56"/>
        </w:rPr>
        <w:t xml:space="preserve">沪深两市金融数据分析系统</w:t>
      </w:r>
    </w:p>
    <w:p>
      <w:pPr>
        <w:spacing w:after="400" w:before="80"/>
        <w:jc w:val="center"/>
      </w:pPr>
      <w:r>
        <w:rPr>
          <w:rFonts w:ascii="Arial" w:cs="Arial" w:eastAsia="Arial" w:hAnsi="Arial"/>
          <w:i/>
          <w:iCs/>
          <w:color w:val="7F8C8D"/>
          <w:sz w:val="28"/>
          <w:szCs w:val="28"/>
        </w:rPr>
        <w:t xml:space="preserve">Financial Data Analysis System</w:t>
      </w:r>
    </w:p>
    <w:p>
      <w:pPr>
        <w:pBdr>
          <w:bottom w:val="single" w:color="1A56B0" w:sz="16" w:space="6"/>
        </w:pBdr>
        <w:spacing w:after="400" w:before="0"/>
        <w:jc w:val="center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2E86C1"/>
          <w:sz w:val="34"/>
          <w:szCs w:val="34"/>
        </w:rPr>
        <w:t xml:space="preserve">项目报告</w:t>
      </w:r>
    </w:p>
    <w:p>
      <w:pPr>
        <w:spacing w:after="100" w:before="100"/>
        <w:jc w:val="center"/>
      </w:pPr>
      <w:r>
        <w:rPr>
          <w:rFonts w:ascii="Arial" w:cs="Arial" w:eastAsia="Arial" w:hAnsi="Arial"/>
          <w:i/>
          <w:iCs/>
          <w:color w:val="7F8C8D"/>
          <w:sz w:val="24"/>
          <w:szCs w:val="24"/>
        </w:rPr>
        <w:t xml:space="preserve">Project Report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30" w:before="6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报告日期：2026 年 4 月 26 日</w:t>
      </w:r>
    </w:p>
    <w:p>
      <w:pPr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数据截止：2022 年 6 月 17 日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A56B0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一、项目概况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项目背景</w:t>
      </w:r>
    </w:p>
    <w:p>
      <w:pPr>
        <w:spacing w:after="60" w:before="60" w:line="3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本项目基于沪深两市指数行情数据与融资融券（两融）交易数据，构建一套全栈金融数据可视化分析系统。系统旨在帮助用户直观地了解沪深市场长期走势、两融资金流向，以及指数与两融之间的关联关系，为投资决策和市场研究提供数据支撑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数据来源</w:t>
      </w:r>
    </w:p>
    <w:p>
      <w:pPr>
        <w:spacing w:after="60" w:before="60" w:line="3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本系统共使用四个原始 CSV 数据文件，具体如下：</w:t>
      </w:r>
    </w:p>
    <w:p>
      <w:pPr>
        <w:spacing w:after="40" w:before="40"/>
      </w:pPr>
      <w: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2400"/>
        <w:gridCol w:w="1760"/>
      </w:tblGrid>
      <w:tr>
        <w:tc>
          <w:tcPr>
            <w:tcW w:type="dxa" w:w="2800"/>
            <w:tcBorders>
              <w:top w:val="single" w:color="1A56B0" w:sz="8"/>
              <w:left w:val="single" w:color="1A56B0" w:sz="8"/>
              <w:bottom w:val="single" w:color="1A56B0" w:sz="8"/>
              <w:right w:val="single" w:color="1A56B0" w:sz="8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文件名</w:t>
            </w:r>
          </w:p>
        </w:tc>
        <w:tc>
          <w:tcPr>
            <w:tcW w:type="dxa" w:w="3000"/>
            <w:tcBorders>
              <w:top w:val="single" w:color="1A56B0" w:sz="8"/>
              <w:left w:val="single" w:color="1A56B0" w:sz="8"/>
              <w:bottom w:val="single" w:color="1A56B0" w:sz="8"/>
              <w:right w:val="single" w:color="1A56B0" w:sz="8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400"/>
            <w:tcBorders>
              <w:top w:val="single" w:color="1A56B0" w:sz="8"/>
              <w:left w:val="single" w:color="1A56B0" w:sz="8"/>
              <w:bottom w:val="single" w:color="1A56B0" w:sz="8"/>
              <w:right w:val="single" w:color="1A56B0" w:sz="8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时间跨度</w:t>
            </w:r>
          </w:p>
        </w:tc>
        <w:tc>
          <w:tcPr>
            <w:tcW w:type="dxa" w:w="1760"/>
            <w:tcBorders>
              <w:top w:val="single" w:color="1A56B0" w:sz="8"/>
              <w:left w:val="single" w:color="1A56B0" w:sz="8"/>
              <w:bottom w:val="single" w:color="1A56B0" w:sz="8"/>
              <w:right w:val="single" w:color="1A56B0" w:sz="8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数据条数</w:t>
            </w:r>
          </w:p>
        </w:tc>
      </w:tr>
      <w:tr>
        <w:tc>
          <w:tcPr>
            <w:tcW w:type="dxa" w:w="28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sh_index.csv</w:t>
            </w:r>
          </w:p>
        </w:tc>
        <w:tc>
          <w:tcPr>
            <w:tcW w:type="dxa" w:w="30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上证综合指数日线行情</w:t>
            </w:r>
          </w:p>
        </w:tc>
        <w:tc>
          <w:tcPr>
            <w:tcW w:type="dxa" w:w="24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1990-12-19 ~ 2022-06-17</w:t>
            </w:r>
          </w:p>
        </w:tc>
        <w:tc>
          <w:tcPr>
            <w:tcW w:type="dxa" w:w="17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7,694 条</w:t>
            </w:r>
          </w:p>
        </w:tc>
      </w:tr>
      <w:tr>
        <w:tc>
          <w:tcPr>
            <w:tcW w:type="dxa" w:w="28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sz_index.csv</w:t>
            </w:r>
          </w:p>
        </w:tc>
        <w:tc>
          <w:tcPr>
            <w:tcW w:type="dxa" w:w="30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深证成份指数日线行情</w:t>
            </w:r>
          </w:p>
        </w:tc>
        <w:tc>
          <w:tcPr>
            <w:tcW w:type="dxa" w:w="24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1991-04-03 ~ 2022-06-17</w:t>
            </w:r>
          </w:p>
        </w:tc>
        <w:tc>
          <w:tcPr>
            <w:tcW w:type="dxa" w:w="17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7,603 条</w:t>
            </w:r>
          </w:p>
        </w:tc>
      </w:tr>
      <w:tr>
        <w:tc>
          <w:tcPr>
            <w:tcW w:type="dxa" w:w="28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sh_margin_trade.csv</w:t>
            </w:r>
          </w:p>
        </w:tc>
        <w:tc>
          <w:tcPr>
            <w:tcW w:type="dxa" w:w="30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沪市融资融券交易数据</w:t>
            </w:r>
          </w:p>
        </w:tc>
        <w:tc>
          <w:tcPr>
            <w:tcW w:type="dxa" w:w="24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2010-03-31 ~ 2022-06-17</w:t>
            </w:r>
          </w:p>
        </w:tc>
        <w:tc>
          <w:tcPr>
            <w:tcW w:type="dxa" w:w="17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2,968 条</w:t>
            </w:r>
          </w:p>
        </w:tc>
      </w:tr>
      <w:tr>
        <w:tc>
          <w:tcPr>
            <w:tcW w:type="dxa" w:w="28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sz_margin_trade.csv</w:t>
            </w:r>
          </w:p>
        </w:tc>
        <w:tc>
          <w:tcPr>
            <w:tcW w:type="dxa" w:w="30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深市融资融券交易数据</w:t>
            </w:r>
          </w:p>
        </w:tc>
        <w:tc>
          <w:tcPr>
            <w:tcW w:type="dxa" w:w="24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2010-03-31 ~ 2022-06-16</w:t>
            </w:r>
          </w:p>
        </w:tc>
        <w:tc>
          <w:tcPr>
            <w:tcW w:type="dxa" w:w="17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2,967 条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1.3 字段说明</w:t>
      </w:r>
    </w:p>
    <w:p>
      <w:pPr>
        <w:spacing w:after="60" w:before="60" w:line="3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【指数数据字段】</w:t>
      </w:r>
    </w:p>
    <w:p>
      <w:pPr>
        <w:spacing w:after="40" w:before="40"/>
      </w:pPr>
      <w: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960"/>
      </w:tblGrid>
      <w:tr>
        <w:tc>
          <w:tcPr>
            <w:tcW w:type="dxa" w:w="2500"/>
            <w:tcBorders>
              <w:top w:val="single" w:color="1A56B0" w:sz="8"/>
              <w:left w:val="single" w:color="1A56B0" w:sz="8"/>
              <w:bottom w:val="single" w:color="1A56B0" w:sz="8"/>
              <w:right w:val="single" w:color="1A56B0" w:sz="8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3500"/>
            <w:tcBorders>
              <w:top w:val="single" w:color="1A56B0" w:sz="8"/>
              <w:left w:val="single" w:color="1A56B0" w:sz="8"/>
              <w:bottom w:val="single" w:color="1A56B0" w:sz="8"/>
              <w:right w:val="single" w:color="1A56B0" w:sz="8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中文含义</w:t>
            </w:r>
          </w:p>
        </w:tc>
        <w:tc>
          <w:tcPr>
            <w:tcW w:type="dxa" w:w="3960"/>
            <w:tcBorders>
              <w:top w:val="single" w:color="1A56B0" w:sz="8"/>
              <w:left w:val="single" w:color="1A56B0" w:sz="8"/>
              <w:bottom w:val="single" w:color="1A56B0" w:sz="8"/>
              <w:right w:val="single" w:color="1A56B0" w:sz="8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单位</w:t>
            </w:r>
          </w:p>
        </w:tc>
      </w:tr>
      <w:tr>
        <w:tc>
          <w:tcPr>
            <w:tcW w:type="dxa" w:w="25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date</w:t>
            </w:r>
          </w:p>
        </w:tc>
        <w:tc>
          <w:tcPr>
            <w:tcW w:type="dxa" w:w="35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交易日期</w:t>
            </w:r>
          </w:p>
        </w:tc>
        <w:tc>
          <w:tcPr>
            <w:tcW w:type="dxa" w:w="39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YYYYMMDD</w:t>
            </w:r>
          </w:p>
        </w:tc>
      </w:tr>
      <w:tr>
        <w:tc>
          <w:tcPr>
            <w:tcW w:type="dxa" w:w="25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close</w:t>
            </w:r>
          </w:p>
        </w:tc>
        <w:tc>
          <w:tcPr>
            <w:tcW w:type="dxa" w:w="35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收盘价</w:t>
            </w:r>
          </w:p>
        </w:tc>
        <w:tc>
          <w:tcPr>
            <w:tcW w:type="dxa" w:w="39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点</w:t>
            </w:r>
          </w:p>
        </w:tc>
      </w:tr>
      <w:tr>
        <w:tc>
          <w:tcPr>
            <w:tcW w:type="dxa" w:w="25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</w:t>
            </w:r>
          </w:p>
        </w:tc>
        <w:tc>
          <w:tcPr>
            <w:tcW w:type="dxa" w:w="35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开盘价</w:t>
            </w:r>
          </w:p>
        </w:tc>
        <w:tc>
          <w:tcPr>
            <w:tcW w:type="dxa" w:w="39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点</w:t>
            </w:r>
          </w:p>
        </w:tc>
      </w:tr>
      <w:tr>
        <w:tc>
          <w:tcPr>
            <w:tcW w:type="dxa" w:w="25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最高价</w:t>
            </w:r>
          </w:p>
        </w:tc>
        <w:tc>
          <w:tcPr>
            <w:tcW w:type="dxa" w:w="39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点</w:t>
            </w:r>
          </w:p>
        </w:tc>
      </w:tr>
      <w:tr>
        <w:tc>
          <w:tcPr>
            <w:tcW w:type="dxa" w:w="25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</w:t>
            </w:r>
          </w:p>
        </w:tc>
        <w:tc>
          <w:tcPr>
            <w:tcW w:type="dxa" w:w="35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最低价</w:t>
            </w:r>
          </w:p>
        </w:tc>
        <w:tc>
          <w:tcPr>
            <w:tcW w:type="dxa" w:w="39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点</w:t>
            </w:r>
          </w:p>
        </w:tc>
      </w:tr>
      <w:tr>
        <w:tc>
          <w:tcPr>
            <w:tcW w:type="dxa" w:w="25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vol</w:t>
            </w:r>
          </w:p>
        </w:tc>
        <w:tc>
          <w:tcPr>
            <w:tcW w:type="dxa" w:w="35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成交量</w:t>
            </w:r>
          </w:p>
        </w:tc>
        <w:tc>
          <w:tcPr>
            <w:tcW w:type="dxa" w:w="39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手</w:t>
            </w:r>
          </w:p>
        </w:tc>
      </w:tr>
      <w:tr>
        <w:tc>
          <w:tcPr>
            <w:tcW w:type="dxa" w:w="25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amount</w:t>
            </w:r>
          </w:p>
        </w:tc>
        <w:tc>
          <w:tcPr>
            <w:tcW w:type="dxa" w:w="35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成交金额</w:t>
            </w:r>
          </w:p>
        </w:tc>
        <w:tc>
          <w:tcPr>
            <w:tcW w:type="dxa" w:w="39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万元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 w:line="3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【两融数据字段】</w:t>
      </w:r>
    </w:p>
    <w:p>
      <w:pPr>
        <w:spacing w:after="40" w:before="40"/>
      </w:pPr>
      <w: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960"/>
      </w:tblGrid>
      <w:tr>
        <w:tc>
          <w:tcPr>
            <w:tcW w:type="dxa" w:w="3000"/>
            <w:tcBorders>
              <w:top w:val="single" w:color="1A56B0" w:sz="8"/>
              <w:left w:val="single" w:color="1A56B0" w:sz="8"/>
              <w:bottom w:val="single" w:color="1A56B0" w:sz="8"/>
              <w:right w:val="single" w:color="1A56B0" w:sz="8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3000"/>
            <w:tcBorders>
              <w:top w:val="single" w:color="1A56B0" w:sz="8"/>
              <w:left w:val="single" w:color="1A56B0" w:sz="8"/>
              <w:bottom w:val="single" w:color="1A56B0" w:sz="8"/>
              <w:right w:val="single" w:color="1A56B0" w:sz="8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中文含义</w:t>
            </w:r>
          </w:p>
        </w:tc>
        <w:tc>
          <w:tcPr>
            <w:tcW w:type="dxa" w:w="3960"/>
            <w:tcBorders>
              <w:top w:val="single" w:color="1A56B0" w:sz="8"/>
              <w:left w:val="single" w:color="1A56B0" w:sz="8"/>
              <w:bottom w:val="single" w:color="1A56B0" w:sz="8"/>
              <w:right w:val="single" w:color="1A56B0" w:sz="8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单位（系统内）</w:t>
            </w:r>
          </w:p>
        </w:tc>
      </w:tr>
      <w:tr>
        <w:tc>
          <w:tcPr>
            <w:tcW w:type="dxa" w:w="30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financing_balance</w:t>
            </w:r>
          </w:p>
        </w:tc>
        <w:tc>
          <w:tcPr>
            <w:tcW w:type="dxa" w:w="30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融资余额</w:t>
            </w:r>
          </w:p>
        </w:tc>
        <w:tc>
          <w:tcPr>
            <w:tcW w:type="dxa" w:w="39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亿元</w:t>
            </w:r>
          </w:p>
        </w:tc>
      </w:tr>
      <w:tr>
        <w:tc>
          <w:tcPr>
            <w:tcW w:type="dxa" w:w="30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financing_purchase</w:t>
            </w:r>
          </w:p>
        </w:tc>
        <w:tc>
          <w:tcPr>
            <w:tcW w:type="dxa" w:w="30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融资买入额</w:t>
            </w:r>
          </w:p>
        </w:tc>
        <w:tc>
          <w:tcPr>
            <w:tcW w:type="dxa" w:w="39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亿元</w:t>
            </w:r>
          </w:p>
        </w:tc>
      </w:tr>
      <w:tr>
        <w:tc>
          <w:tcPr>
            <w:tcW w:type="dxa" w:w="30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financing_redeem</w:t>
            </w:r>
          </w:p>
        </w:tc>
        <w:tc>
          <w:tcPr>
            <w:tcW w:type="dxa" w:w="30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融资偿还额</w:t>
            </w:r>
          </w:p>
        </w:tc>
        <w:tc>
          <w:tcPr>
            <w:tcW w:type="dxa" w:w="39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亿元</w:t>
            </w:r>
          </w:p>
        </w:tc>
      </w:tr>
      <w:tr>
        <w:tc>
          <w:tcPr>
            <w:tcW w:type="dxa" w:w="30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securities_lending_balance</w:t>
            </w:r>
          </w:p>
        </w:tc>
        <w:tc>
          <w:tcPr>
            <w:tcW w:type="dxa" w:w="30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融券余额</w:t>
            </w:r>
          </w:p>
        </w:tc>
        <w:tc>
          <w:tcPr>
            <w:tcW w:type="dxa" w:w="39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亿元</w:t>
            </w:r>
          </w:p>
        </w:tc>
      </w:tr>
      <w:tr>
        <w:tc>
          <w:tcPr>
            <w:tcW w:type="dxa" w:w="30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securities_lending_sell</w:t>
            </w:r>
          </w:p>
        </w:tc>
        <w:tc>
          <w:tcPr>
            <w:tcW w:type="dxa" w:w="30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融券卖出额</w:t>
            </w:r>
          </w:p>
        </w:tc>
        <w:tc>
          <w:tcPr>
            <w:tcW w:type="dxa" w:w="39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亿元</w:t>
            </w:r>
          </w:p>
        </w:tc>
      </w:tr>
      <w:tr>
        <w:tc>
          <w:tcPr>
            <w:tcW w:type="dxa" w:w="30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securities_lending_shares</w:t>
            </w:r>
          </w:p>
        </w:tc>
        <w:tc>
          <w:tcPr>
            <w:tcW w:type="dxa" w:w="30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融券余量</w:t>
            </w:r>
          </w:p>
        </w:tc>
        <w:tc>
          <w:tcPr>
            <w:tcW w:type="dxa" w:w="39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股</w:t>
            </w:r>
          </w:p>
        </w:tc>
      </w:tr>
      <w:tr>
        <w:tc>
          <w:tcPr>
            <w:tcW w:type="dxa" w:w="30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margin_balance</w:t>
            </w:r>
          </w:p>
        </w:tc>
        <w:tc>
          <w:tcPr>
            <w:tcW w:type="dxa" w:w="30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两融合计余额</w:t>
            </w:r>
          </w:p>
        </w:tc>
        <w:tc>
          <w:tcPr>
            <w:tcW w:type="dxa" w:w="39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亿元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B0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二、系统架构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技术栈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960"/>
      </w:tblGrid>
      <w:tr>
        <w:tc>
          <w:tcPr>
            <w:tcW w:type="dxa" w:w="2000"/>
            <w:tcBorders>
              <w:top w:val="single" w:color="1A56B0" w:sz="8"/>
              <w:left w:val="single" w:color="1A56B0" w:sz="8"/>
              <w:bottom w:val="single" w:color="1A56B0" w:sz="8"/>
              <w:right w:val="single" w:color="1A56B0" w:sz="8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3000"/>
            <w:tcBorders>
              <w:top w:val="single" w:color="1A56B0" w:sz="8"/>
              <w:left w:val="single" w:color="1A56B0" w:sz="8"/>
              <w:bottom w:val="single" w:color="1A56B0" w:sz="8"/>
              <w:right w:val="single" w:color="1A56B0" w:sz="8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960"/>
            <w:tcBorders>
              <w:top w:val="single" w:color="1A56B0" w:sz="8"/>
              <w:left w:val="single" w:color="1A56B0" w:sz="8"/>
              <w:bottom w:val="single" w:color="1A56B0" w:sz="8"/>
              <w:right w:val="single" w:color="1A56B0" w:sz="8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30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Python Flask 2.x</w:t>
            </w:r>
          </w:p>
        </w:tc>
        <w:tc>
          <w:tcPr>
            <w:tcW w:type="dxa" w:w="49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轻量 RESTful API 服务</w:t>
            </w:r>
          </w:p>
        </w:tc>
      </w:tr>
      <w:tr>
        <w:tc>
          <w:tcPr>
            <w:tcW w:type="dxa" w:w="20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数据处理</w:t>
            </w:r>
          </w:p>
        </w:tc>
        <w:tc>
          <w:tcPr>
            <w:tcW w:type="dxa" w:w="30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Pandas + NumPy</w:t>
            </w:r>
          </w:p>
        </w:tc>
        <w:tc>
          <w:tcPr>
            <w:tcW w:type="dxa" w:w="49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CSV 读取、聚合、相关性计算</w:t>
            </w:r>
          </w:p>
        </w:tc>
      </w:tr>
      <w:tr>
        <w:tc>
          <w:tcPr>
            <w:tcW w:type="dxa" w:w="20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跨域支持</w:t>
            </w:r>
          </w:p>
        </w:tc>
        <w:tc>
          <w:tcPr>
            <w:tcW w:type="dxa" w:w="30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Flask-CORS</w:t>
            </w:r>
          </w:p>
        </w:tc>
        <w:tc>
          <w:tcPr>
            <w:tcW w:type="dxa" w:w="49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允许前端跨域调用 API</w:t>
            </w:r>
          </w:p>
        </w:tc>
      </w:tr>
      <w:tr>
        <w:tc>
          <w:tcPr>
            <w:tcW w:type="dxa" w:w="20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0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HTML5 + 原生 JS</w:t>
            </w:r>
          </w:p>
        </w:tc>
        <w:tc>
          <w:tcPr>
            <w:tcW w:type="dxa" w:w="49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无依赖单页应用（SPA）</w:t>
            </w:r>
          </w:p>
        </w:tc>
      </w:tr>
      <w:tr>
        <w:tc>
          <w:tcPr>
            <w:tcW w:type="dxa" w:w="20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可视化库</w:t>
            </w:r>
          </w:p>
        </w:tc>
        <w:tc>
          <w:tcPr>
            <w:tcW w:type="dxa" w:w="30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ECharts 5.4.3</w:t>
            </w:r>
          </w:p>
        </w:tc>
        <w:tc>
          <w:tcPr>
            <w:tcW w:type="dxa" w:w="49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折线、柱状、饼图、散点、热力图</w:t>
            </w:r>
          </w:p>
        </w:tc>
      </w:tr>
      <w:tr>
        <w:tc>
          <w:tcPr>
            <w:tcW w:type="dxa" w:w="20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运行环境</w:t>
            </w:r>
          </w:p>
        </w:tc>
        <w:tc>
          <w:tcPr>
            <w:tcW w:type="dxa" w:w="30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Python 3.x + Node.js</w:t>
            </w:r>
          </w:p>
        </w:tc>
        <w:tc>
          <w:tcPr>
            <w:tcW w:type="dxa" w:w="49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后端 Python，前端构建工具 Node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项目目录结构</w:t>
      </w:r>
    </w:p>
    <w:p>
      <w:pPr>
        <w:spacing w:after="40" w:before="40"/>
      </w:pPr>
      <w: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960"/>
      </w:tblGrid>
      <w:tr>
        <w:tc>
          <w:tcPr>
            <w:tcW w:type="dxa" w:w="3200"/>
            <w:tcBorders>
              <w:top w:val="single" w:color="1A56B0" w:sz="8"/>
              <w:left w:val="single" w:color="1A56B0" w:sz="8"/>
              <w:bottom w:val="single" w:color="1A56B0" w:sz="8"/>
              <w:right w:val="single" w:color="1A56B0" w:sz="8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800"/>
            <w:tcBorders>
              <w:top w:val="single" w:color="1A56B0" w:sz="8"/>
              <w:left w:val="single" w:color="1A56B0" w:sz="8"/>
              <w:bottom w:val="single" w:color="1A56B0" w:sz="8"/>
              <w:right w:val="single" w:color="1A56B0" w:sz="8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文件/文件夹</w:t>
            </w:r>
          </w:p>
        </w:tc>
        <w:tc>
          <w:tcPr>
            <w:tcW w:type="dxa" w:w="3960"/>
            <w:tcBorders>
              <w:top w:val="single" w:color="1A56B0" w:sz="8"/>
              <w:left w:val="single" w:color="1A56B0" w:sz="8"/>
              <w:bottom w:val="single" w:color="1A56B0" w:sz="8"/>
              <w:right w:val="single" w:color="1A56B0" w:sz="8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finance-dashboard/</w:t>
            </w:r>
          </w:p>
        </w:tc>
        <w:tc>
          <w:tcPr>
            <w:tcW w:type="dxa" w:w="28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app.py</w:t>
            </w:r>
          </w:p>
        </w:tc>
        <w:tc>
          <w:tcPr>
            <w:tcW w:type="dxa" w:w="39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Flask 后端主程序，数据加载 &amp; API 路由</w:t>
            </w:r>
          </w:p>
        </w:tc>
      </w:tr>
      <w:tr>
        <w:tc>
          <w:tcPr>
            <w:tcW w:type="dxa" w:w="32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finance-dashboard/</w:t>
            </w:r>
          </w:p>
        </w:tc>
        <w:tc>
          <w:tcPr>
            <w:tcW w:type="dxa" w:w="28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39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Node 依赖配置（用于生成报告文档）</w:t>
            </w:r>
          </w:p>
        </w:tc>
      </w:tr>
      <w:tr>
        <w:tc>
          <w:tcPr>
            <w:tcW w:type="dxa" w:w="32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finance-dashboard/static/</w:t>
            </w:r>
          </w:p>
        </w:tc>
        <w:tc>
          <w:tcPr>
            <w:tcW w:type="dxa" w:w="28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index.html</w:t>
            </w:r>
          </w:p>
        </w:tc>
        <w:tc>
          <w:tcPr>
            <w:tcW w:type="dxa" w:w="39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前端单页应用，含全部可视化逻辑</w:t>
            </w:r>
          </w:p>
        </w:tc>
      </w:tr>
      <w:tr>
        <w:tc>
          <w:tcPr>
            <w:tcW w:type="dxa" w:w="32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finance-dashboard/node_modules/</w:t>
            </w:r>
          </w:p>
        </w:tc>
        <w:tc>
          <w:tcPr>
            <w:tcW w:type="dxa" w:w="28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Node 依赖包（docx 等）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API 接口清单</w:t>
      </w:r>
    </w:p>
    <w:p>
      <w:pPr>
        <w:spacing w:after="60" w:before="60" w:line="3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后端共提供 8 个 RESTful API 接口，均支持日期过滤参数（start / end）：</w:t>
      </w:r>
    </w:p>
    <w:p>
      <w:pPr>
        <w:spacing w:after="40" w:before="4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3000"/>
        <w:gridCol w:w="2660"/>
      </w:tblGrid>
      <w:tr>
        <w:tc>
          <w:tcPr>
            <w:tcW w:type="dxa" w:w="2400"/>
            <w:tcBorders>
              <w:top w:val="single" w:color="1A56B0" w:sz="8"/>
              <w:left w:val="single" w:color="1A56B0" w:sz="8"/>
              <w:bottom w:val="single" w:color="1A56B0" w:sz="8"/>
              <w:right w:val="single" w:color="1A56B0" w:sz="8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900"/>
            <w:tcBorders>
              <w:top w:val="single" w:color="1A56B0" w:sz="8"/>
              <w:left w:val="single" w:color="1A56B0" w:sz="8"/>
              <w:bottom w:val="single" w:color="1A56B0" w:sz="8"/>
              <w:right w:val="single" w:color="1A56B0" w:sz="8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1A56B0" w:sz="8"/>
              <w:left w:val="single" w:color="1A56B0" w:sz="8"/>
              <w:bottom w:val="single" w:color="1A56B0" w:sz="8"/>
              <w:right w:val="single" w:color="1A56B0" w:sz="8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2660"/>
            <w:tcBorders>
              <w:top w:val="single" w:color="1A56B0" w:sz="8"/>
              <w:left w:val="single" w:color="1A56B0" w:sz="8"/>
              <w:bottom w:val="single" w:color="1A56B0" w:sz="8"/>
              <w:right w:val="single" w:color="1A56B0" w:sz="8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关键参数</w:t>
            </w:r>
          </w:p>
        </w:tc>
      </w:tr>
      <w:tr>
        <w:tc>
          <w:tcPr>
            <w:tcW w:type="dxa" w:w="24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/api/overview</w:t>
            </w:r>
          </w:p>
        </w:tc>
        <w:tc>
          <w:tcPr>
            <w:tcW w:type="dxa" w:w="9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四表核心概览统计</w:t>
            </w:r>
          </w:p>
        </w:tc>
        <w:tc>
          <w:tcPr>
            <w:tcW w:type="dxa" w:w="26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/api/index</w:t>
            </w:r>
          </w:p>
        </w:tc>
        <w:tc>
          <w:tcPr>
            <w:tcW w:type="dxa" w:w="9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指数行情（收盘/开高低/成交量）</w:t>
            </w:r>
          </w:p>
        </w:tc>
        <w:tc>
          <w:tcPr>
            <w:tcW w:type="dxa" w:w="26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market, start, end, limit</w:t>
            </w:r>
          </w:p>
        </w:tc>
      </w:tr>
      <w:tr>
        <w:tc>
          <w:tcPr>
            <w:tcW w:type="dxa" w:w="24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/api/margin</w:t>
            </w:r>
          </w:p>
        </w:tc>
        <w:tc>
          <w:tcPr>
            <w:tcW w:type="dxa" w:w="9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两融余额及明细</w:t>
            </w:r>
          </w:p>
        </w:tc>
        <w:tc>
          <w:tcPr>
            <w:tcW w:type="dxa" w:w="26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market, start, end, limit</w:t>
            </w:r>
          </w:p>
        </w:tc>
      </w:tr>
      <w:tr>
        <w:tc>
          <w:tcPr>
            <w:tcW w:type="dxa" w:w="24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/api/margin/monthly</w:t>
            </w:r>
          </w:p>
        </w:tc>
        <w:tc>
          <w:tcPr>
            <w:tcW w:type="dxa" w:w="9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两融余额月度聚合</w:t>
            </w:r>
          </w:p>
        </w:tc>
        <w:tc>
          <w:tcPr>
            <w:tcW w:type="dxa" w:w="26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start, end</w:t>
            </w:r>
          </w:p>
        </w:tc>
      </w:tr>
      <w:tr>
        <w:tc>
          <w:tcPr>
            <w:tcW w:type="dxa" w:w="24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/api/margin/flow</w:t>
            </w:r>
          </w:p>
        </w:tc>
        <w:tc>
          <w:tcPr>
            <w:tcW w:type="dxa" w:w="9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融资买入 vs 偿还 vs 融券卖出</w:t>
            </w:r>
          </w:p>
        </w:tc>
        <w:tc>
          <w:tcPr>
            <w:tcW w:type="dxa" w:w="26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start, end, limit</w:t>
            </w:r>
          </w:p>
        </w:tc>
      </w:tr>
      <w:tr>
        <w:tc>
          <w:tcPr>
            <w:tcW w:type="dxa" w:w="24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/api/margin/ratio</w:t>
            </w:r>
          </w:p>
        </w:tc>
        <w:tc>
          <w:tcPr>
            <w:tcW w:type="dxa" w:w="9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沪深两融余额占比趋势</w:t>
            </w:r>
          </w:p>
        </w:tc>
        <w:tc>
          <w:tcPr>
            <w:tcW w:type="dxa" w:w="26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start, end, limit</w:t>
            </w:r>
          </w:p>
        </w:tc>
      </w:tr>
      <w:tr>
        <w:tc>
          <w:tcPr>
            <w:tcW w:type="dxa" w:w="24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/api/index/annual</w:t>
            </w:r>
          </w:p>
        </w:tc>
        <w:tc>
          <w:tcPr>
            <w:tcW w:type="dxa" w:w="9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指数年度涨跌幅统计</w:t>
            </w:r>
          </w:p>
        </w:tc>
        <w:tc>
          <w:tcPr>
            <w:tcW w:type="dxa" w:w="26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/api/correlation</w:t>
            </w:r>
          </w:p>
        </w:tc>
        <w:tc>
          <w:tcPr>
            <w:tcW w:type="dxa" w:w="9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相关系数 + 30日滚动相关</w:t>
            </w:r>
          </w:p>
        </w:tc>
        <w:tc>
          <w:tcPr>
            <w:tcW w:type="dxa" w:w="26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start, end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B0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三、功能模块详述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总览页面（Overview）</w:t>
      </w:r>
    </w:p>
    <w:p>
      <w:pPr>
        <w:spacing w:after="60" w:before="60" w:line="3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总览页面集中展示系统最核心的四项关键指标与趋势图，方便用户快速掌握市场全貌。</w:t>
      </w:r>
    </w:p>
    <w:p>
      <w:pPr>
        <w:spacing w:after="40" w:before="40"/>
      </w:pPr>
      <w: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60"/>
      </w:tblGrid>
      <w:tr>
        <w:tc>
          <w:tcPr>
            <w:tcW w:type="dxa" w:w="2400"/>
            <w:tcBorders>
              <w:top w:val="single" w:color="1A56B0" w:sz="8"/>
              <w:left w:val="single" w:color="1A56B0" w:sz="8"/>
              <w:bottom w:val="single" w:color="1A56B0" w:sz="8"/>
              <w:right w:val="single" w:color="1A56B0" w:sz="8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7560"/>
            <w:tcBorders>
              <w:top w:val="single" w:color="1A56B0" w:sz="8"/>
              <w:left w:val="single" w:color="1A56B0" w:sz="8"/>
              <w:bottom w:val="single" w:color="1A56B0" w:sz="8"/>
              <w:right w:val="single" w:color="1A56B0" w:sz="8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核心指标卡 × 4</w:t>
            </w:r>
          </w:p>
        </w:tc>
        <w:tc>
          <w:tcPr>
            <w:tcW w:type="dxa" w:w="75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上证综指最新点位 / 深证成指最新点位 / 沪市两融余额 / 深市两融余额（均含历史峰值）</w:t>
            </w:r>
          </w:p>
        </w:tc>
      </w:tr>
      <w:tr>
        <w:tc>
          <w:tcPr>
            <w:tcW w:type="dxa" w:w="24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沪深指数走势对比</w:t>
            </w:r>
          </w:p>
        </w:tc>
        <w:tc>
          <w:tcPr>
            <w:tcW w:type="dxa" w:w="75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2015 年至今归一化折线图，上证 vs 深证同框对比</w:t>
            </w:r>
          </w:p>
        </w:tc>
      </w:tr>
      <w:tr>
        <w:tc>
          <w:tcPr>
            <w:tcW w:type="dxa" w:w="24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两融月度余额柱状图</w:t>
            </w:r>
          </w:p>
        </w:tc>
        <w:tc>
          <w:tcPr>
            <w:tcW w:type="dxa" w:w="75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沪深融资余额叠加柱状图，清晰呈现规模走势</w:t>
            </w:r>
          </w:p>
        </w:tc>
      </w:tr>
      <w:tr>
        <w:tc>
          <w:tcPr>
            <w:tcW w:type="dxa" w:w="24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两融市场占比饼图</w:t>
            </w:r>
          </w:p>
        </w:tc>
        <w:tc>
          <w:tcPr>
            <w:tcW w:type="dxa" w:w="75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展示最新时点沪市 vs 深市两融余额份额</w:t>
            </w:r>
          </w:p>
        </w:tc>
      </w:tr>
      <w:tr>
        <w:tc>
          <w:tcPr>
            <w:tcW w:type="dxa" w:w="24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两融占比趋势线图</w:t>
            </w:r>
          </w:p>
        </w:tc>
        <w:tc>
          <w:tcPr>
            <w:tcW w:type="dxa" w:w="75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历史占比变化，展现市场结构演变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指数行情页面（Index）</w:t>
      </w:r>
    </w:p>
    <w:p>
      <w:pPr>
        <w:spacing w:after="60" w:before="60" w:line="3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提供完整的指数行情浏览与分析功能，支持多维度交互。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支持上证综指 / 深证成指 / 沪深对比三种视图切换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时间范围快捷筛选（全部 / 近5年 / 近3年 / 近1年）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折线图 / 面积图显示模式切换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DataZoom 拖拽缩放，支持鼠标滚轮与拖拽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独立的成交量柱状图和成交金额趋势图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两融分析页面（Margin）</w:t>
      </w:r>
    </w:p>
    <w:p>
      <w:pPr>
        <w:spacing w:after="60" w:before="60" w:line="3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深入展示融资融券数据各维度，帮助用户理解杠杆资金变化规律。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融资余额月度趋势（面积图，沪深双线）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融资买入额 vs 融资偿还额流量对比（单日流量分析）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融券卖出量柱状图（沪深双色对比）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年月热力图：以颜色深浅直观展示各月两融余额规模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3.4 相关性分析页面（Correlation）</w:t>
      </w:r>
    </w:p>
    <w:p>
      <w:pPr>
        <w:spacing w:after="60" w:before="60" w:line="3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量化指数行情与两融余额的线性相关关系，是本系统的核心分析模块。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Pearson 相关系数卡片：展示指数 × 两融余额、指数 × 融资余额四组相关系数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相关强度自动判定：|r| ≥ 0.7 强相关（红）/ 0.4~0.7 中等相关（橙）/ &lt; 0.4 弱相关（绿）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30 日滚动相关系数折线图：揭示相关关系的时间演变，含 ±0.7 参考线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散点图：可视化指数点位与两融余额的分布形态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3.5 年度统计页面（Annual）</w:t>
      </w:r>
    </w:p>
    <w:p>
      <w:pPr>
        <w:spacing w:after="60" w:before="60" w:line="3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从年度视角汇总指数涨跌情况，便于长期规律研究。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上证综指 / 深证成指年度涨跌幅柱状图（红涨绿跌，中国市场惯例）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每根柱子标注精确涨跌幅数值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年度数据表：年初收盘 / 年末收盘 / 涨跌幅三列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B0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四、核心数据摘要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指数关键统计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3560"/>
      </w:tblGrid>
      <w:tr>
        <w:tc>
          <w:tcPr>
            <w:tcW w:type="dxa" w:w="3400"/>
            <w:tcBorders>
              <w:top w:val="single" w:color="1A56B0" w:sz="8"/>
              <w:left w:val="single" w:color="1A56B0" w:sz="8"/>
              <w:bottom w:val="single" w:color="1A56B0" w:sz="8"/>
              <w:right w:val="single" w:color="1A56B0" w:sz="8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000"/>
            <w:tcBorders>
              <w:top w:val="single" w:color="1A56B0" w:sz="8"/>
              <w:left w:val="single" w:color="1A56B0" w:sz="8"/>
              <w:bottom w:val="single" w:color="1A56B0" w:sz="8"/>
              <w:right w:val="single" w:color="1A56B0" w:sz="8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上证综指</w:t>
            </w:r>
          </w:p>
        </w:tc>
        <w:tc>
          <w:tcPr>
            <w:tcW w:type="dxa" w:w="3560"/>
            <w:tcBorders>
              <w:top w:val="single" w:color="1A56B0" w:sz="8"/>
              <w:left w:val="single" w:color="1A56B0" w:sz="8"/>
              <w:bottom w:val="single" w:color="1A56B0" w:sz="8"/>
              <w:right w:val="single" w:color="1A56B0" w:sz="8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深证成指</w:t>
            </w:r>
          </w:p>
        </w:tc>
      </w:tr>
      <w:tr>
        <w:tc>
          <w:tcPr>
            <w:tcW w:type="dxa" w:w="34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数据起始日期</w:t>
            </w:r>
          </w:p>
        </w:tc>
        <w:tc>
          <w:tcPr>
            <w:tcW w:type="dxa" w:w="30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1990-12-19</w:t>
            </w:r>
          </w:p>
        </w:tc>
        <w:tc>
          <w:tcPr>
            <w:tcW w:type="dxa" w:w="35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1991-04-03</w:t>
            </w:r>
          </w:p>
        </w:tc>
      </w:tr>
      <w:tr>
        <w:tc>
          <w:tcPr>
            <w:tcW w:type="dxa" w:w="34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数据截止日期</w:t>
            </w:r>
          </w:p>
        </w:tc>
        <w:tc>
          <w:tcPr>
            <w:tcW w:type="dxa" w:w="30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2022-06-17</w:t>
            </w:r>
          </w:p>
        </w:tc>
        <w:tc>
          <w:tcPr>
            <w:tcW w:type="dxa" w:w="35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2022-06-17</w:t>
            </w:r>
          </w:p>
        </w:tc>
      </w:tr>
      <w:tr>
        <w:tc>
          <w:tcPr>
            <w:tcW w:type="dxa" w:w="34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总交易日数</w:t>
            </w:r>
          </w:p>
        </w:tc>
        <w:tc>
          <w:tcPr>
            <w:tcW w:type="dxa" w:w="30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7,694 天</w:t>
            </w:r>
          </w:p>
        </w:tc>
        <w:tc>
          <w:tcPr>
            <w:tcW w:type="dxa" w:w="35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7,603 天</w:t>
            </w:r>
          </w:p>
        </w:tc>
      </w:tr>
      <w:tr>
        <w:tc>
          <w:tcPr>
            <w:tcW w:type="dxa" w:w="34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历史最高点位</w:t>
            </w:r>
          </w:p>
        </w:tc>
        <w:tc>
          <w:tcPr>
            <w:tcW w:type="dxa" w:w="30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6,092.06 点（2007-10-16）</w:t>
            </w:r>
          </w:p>
        </w:tc>
        <w:tc>
          <w:tcPr>
            <w:tcW w:type="dxa" w:w="35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19,531.15 点（2015-06-12）</w:t>
            </w:r>
          </w:p>
        </w:tc>
      </w:tr>
      <w:tr>
        <w:tc>
          <w:tcPr>
            <w:tcW w:type="dxa" w:w="34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历史最低点位</w:t>
            </w:r>
          </w:p>
        </w:tc>
        <w:tc>
          <w:tcPr>
            <w:tcW w:type="dxa" w:w="30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99.98 点（1990-12-19）</w:t>
            </w:r>
          </w:p>
        </w:tc>
        <w:tc>
          <w:tcPr>
            <w:tcW w:type="dxa" w:w="35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402.50 点（1991-05-09）</w:t>
            </w:r>
          </w:p>
        </w:tc>
      </w:tr>
      <w:tr>
        <w:tc>
          <w:tcPr>
            <w:tcW w:type="dxa" w:w="34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最新收盘点位（截止日）</w:t>
            </w:r>
          </w:p>
        </w:tc>
        <w:tc>
          <w:tcPr>
            <w:tcW w:type="dxa" w:w="30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3,316.79 点</w:t>
            </w:r>
          </w:p>
        </w:tc>
        <w:tc>
          <w:tcPr>
            <w:tcW w:type="dxa" w:w="35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12,331.14 点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两融关键统计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3560"/>
      </w:tblGrid>
      <w:tr>
        <w:tc>
          <w:tcPr>
            <w:tcW w:type="dxa" w:w="3400"/>
            <w:tcBorders>
              <w:top w:val="single" w:color="1A56B0" w:sz="8"/>
              <w:left w:val="single" w:color="1A56B0" w:sz="8"/>
              <w:bottom w:val="single" w:color="1A56B0" w:sz="8"/>
              <w:right w:val="single" w:color="1A56B0" w:sz="8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000"/>
            <w:tcBorders>
              <w:top w:val="single" w:color="1A56B0" w:sz="8"/>
              <w:left w:val="single" w:color="1A56B0" w:sz="8"/>
              <w:bottom w:val="single" w:color="1A56B0" w:sz="8"/>
              <w:right w:val="single" w:color="1A56B0" w:sz="8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沪市</w:t>
            </w:r>
          </w:p>
        </w:tc>
        <w:tc>
          <w:tcPr>
            <w:tcW w:type="dxa" w:w="3560"/>
            <w:tcBorders>
              <w:top w:val="single" w:color="1A56B0" w:sz="8"/>
              <w:left w:val="single" w:color="1A56B0" w:sz="8"/>
              <w:bottom w:val="single" w:color="1A56B0" w:sz="8"/>
              <w:right w:val="single" w:color="1A56B0" w:sz="8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深市</w:t>
            </w:r>
          </w:p>
        </w:tc>
      </w:tr>
      <w:tr>
        <w:tc>
          <w:tcPr>
            <w:tcW w:type="dxa" w:w="34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数据起始日期</w:t>
            </w:r>
          </w:p>
        </w:tc>
        <w:tc>
          <w:tcPr>
            <w:tcW w:type="dxa" w:w="30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2010-03-31</w:t>
            </w:r>
          </w:p>
        </w:tc>
        <w:tc>
          <w:tcPr>
            <w:tcW w:type="dxa" w:w="35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2010-03-31</w:t>
            </w:r>
          </w:p>
        </w:tc>
      </w:tr>
      <w:tr>
        <w:tc>
          <w:tcPr>
            <w:tcW w:type="dxa" w:w="34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数据截止日期</w:t>
            </w:r>
          </w:p>
        </w:tc>
        <w:tc>
          <w:tcPr>
            <w:tcW w:type="dxa" w:w="30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2022-06-17</w:t>
            </w:r>
          </w:p>
        </w:tc>
        <w:tc>
          <w:tcPr>
            <w:tcW w:type="dxa" w:w="35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2022-06-16</w:t>
            </w:r>
          </w:p>
        </w:tc>
      </w:tr>
      <w:tr>
        <w:tc>
          <w:tcPr>
            <w:tcW w:type="dxa" w:w="34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历史峰值两融余额</w:t>
            </w:r>
          </w:p>
        </w:tc>
        <w:tc>
          <w:tcPr>
            <w:tcW w:type="dxa" w:w="30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14,869 亿元（2015年）</w:t>
            </w:r>
          </w:p>
        </w:tc>
        <w:tc>
          <w:tcPr>
            <w:tcW w:type="dxa" w:w="35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8,877 亿元（2021年）</w:t>
            </w:r>
          </w:p>
        </w:tc>
      </w:tr>
      <w:tr>
        <w:tc>
          <w:tcPr>
            <w:tcW w:type="dxa" w:w="34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最新两融余额（截止日）</w:t>
            </w:r>
          </w:p>
        </w:tc>
        <w:tc>
          <w:tcPr>
            <w:tcW w:type="dxa" w:w="30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8,492 亿元</w:t>
            </w:r>
          </w:p>
        </w:tc>
        <w:tc>
          <w:tcPr>
            <w:tcW w:type="dxa" w:w="35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7,100 亿元</w:t>
            </w:r>
          </w:p>
        </w:tc>
      </w:tr>
      <w:tr>
        <w:tc>
          <w:tcPr>
            <w:tcW w:type="dxa" w:w="34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沪深合计最新余额</w:t>
            </w:r>
          </w:p>
        </w:tc>
        <w:tc>
          <w:tcPr>
            <w:tcW w:type="dxa" w:w="30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约 15,592 亿元</w:t>
            </w:r>
          </w:p>
        </w:tc>
        <w:tc>
          <w:tcPr>
            <w:tcW w:type="dxa" w:w="35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相关性分析结论</w:t>
      </w:r>
    </w:p>
    <w:p>
      <w:pPr>
        <w:spacing w:after="60" w:before="60" w:line="3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基于 2015 年至 2022 年数据区间的相关性计算结果如下：</w:t>
      </w:r>
    </w:p>
    <w:p>
      <w:pPr>
        <w:spacing w:after="40" w:before="40"/>
      </w:pPr>
      <w: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960"/>
      </w:tblGrid>
      <w:tr>
        <w:tc>
          <w:tcPr>
            <w:tcW w:type="dxa" w:w="2800"/>
            <w:tcBorders>
              <w:top w:val="single" w:color="1A56B0" w:sz="8"/>
              <w:left w:val="single" w:color="1A56B0" w:sz="8"/>
              <w:bottom w:val="single" w:color="1A56B0" w:sz="8"/>
              <w:right w:val="single" w:color="1A56B0" w:sz="8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分析维度</w:t>
            </w:r>
          </w:p>
        </w:tc>
        <w:tc>
          <w:tcPr>
            <w:tcW w:type="dxa" w:w="1600"/>
            <w:tcBorders>
              <w:top w:val="single" w:color="1A56B0" w:sz="8"/>
              <w:left w:val="single" w:color="1A56B0" w:sz="8"/>
              <w:bottom w:val="single" w:color="1A56B0" w:sz="8"/>
              <w:right w:val="single" w:color="1A56B0" w:sz="8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相关系数</w:t>
            </w:r>
          </w:p>
        </w:tc>
        <w:tc>
          <w:tcPr>
            <w:tcW w:type="dxa" w:w="1600"/>
            <w:tcBorders>
              <w:top w:val="single" w:color="1A56B0" w:sz="8"/>
              <w:left w:val="single" w:color="1A56B0" w:sz="8"/>
              <w:bottom w:val="single" w:color="1A56B0" w:sz="8"/>
              <w:right w:val="single" w:color="1A56B0" w:sz="8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相关强度</w:t>
            </w:r>
          </w:p>
        </w:tc>
        <w:tc>
          <w:tcPr>
            <w:tcW w:type="dxa" w:w="3960"/>
            <w:tcBorders>
              <w:top w:val="single" w:color="1A56B0" w:sz="8"/>
              <w:left w:val="single" w:color="1A56B0" w:sz="8"/>
              <w:bottom w:val="single" w:color="1A56B0" w:sz="8"/>
              <w:right w:val="single" w:color="1A56B0" w:sz="8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解读</w:t>
            </w:r>
          </w:p>
        </w:tc>
      </w:tr>
      <w:tr>
        <w:tc>
          <w:tcPr>
            <w:tcW w:type="dxa" w:w="28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上证综指 × 沪市两融余额</w:t>
            </w:r>
          </w:p>
        </w:tc>
        <w:tc>
          <w:tcPr>
            <w:tcW w:type="dxa" w:w="16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约 +0.77</w:t>
            </w:r>
          </w:p>
        </w:tc>
        <w:tc>
          <w:tcPr>
            <w:tcW w:type="dxa" w:w="16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强正相关</w:t>
            </w:r>
          </w:p>
        </w:tc>
        <w:tc>
          <w:tcPr>
            <w:tcW w:type="dxa" w:w="39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指数上涨伴随两融规模扩张</w:t>
            </w:r>
          </w:p>
        </w:tc>
      </w:tr>
      <w:tr>
        <w:tc>
          <w:tcPr>
            <w:tcW w:type="dxa" w:w="28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上证综指 × 沪市融资余额</w:t>
            </w:r>
          </w:p>
        </w:tc>
        <w:tc>
          <w:tcPr>
            <w:tcW w:type="dxa" w:w="16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约 +0.78</w:t>
            </w:r>
          </w:p>
        </w:tc>
        <w:tc>
          <w:tcPr>
            <w:tcW w:type="dxa" w:w="16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强正相关</w:t>
            </w:r>
          </w:p>
        </w:tc>
        <w:tc>
          <w:tcPr>
            <w:tcW w:type="dxa" w:w="39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融资买入是推动指数上行的重要力量</w:t>
            </w:r>
          </w:p>
        </w:tc>
      </w:tr>
      <w:tr>
        <w:tc>
          <w:tcPr>
            <w:tcW w:type="dxa" w:w="28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深证成指 × 深市两融余额</w:t>
            </w:r>
          </w:p>
        </w:tc>
        <w:tc>
          <w:tcPr>
            <w:tcW w:type="dxa" w:w="16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约 +0.82</w:t>
            </w:r>
          </w:p>
        </w:tc>
        <w:tc>
          <w:tcPr>
            <w:tcW w:type="dxa" w:w="16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强正相关</w:t>
            </w:r>
          </w:p>
        </w:tc>
        <w:tc>
          <w:tcPr>
            <w:tcW w:type="dxa" w:w="39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深市相关性更高，杠杆资金影响更显著</w:t>
            </w:r>
          </w:p>
        </w:tc>
      </w:tr>
      <w:tr>
        <w:tc>
          <w:tcPr>
            <w:tcW w:type="dxa" w:w="28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深证成指 × 深市融资余额</w:t>
            </w:r>
          </w:p>
        </w:tc>
        <w:tc>
          <w:tcPr>
            <w:tcW w:type="dxa" w:w="16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约 +0.83</w:t>
            </w:r>
          </w:p>
        </w:tc>
        <w:tc>
          <w:tcPr>
            <w:tcW w:type="dxa" w:w="16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强正相关</w:t>
            </w:r>
          </w:p>
        </w:tc>
        <w:tc>
          <w:tcPr>
            <w:tcW w:type="dxa" w:w="39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成长板块融资需求强烈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 w:line="340"/>
      </w:pPr>
      <w:r>
        <w:rPr>
          <w:rFonts w:ascii="Arial" w:cs="Arial" w:eastAsia="Arial" w:hAnsi="Arial"/>
          <w:b w:val="false"/>
          <w:bCs w:val="false"/>
          <w:color w:val="7F8C8D"/>
          <w:sz w:val="19"/>
          <w:szCs w:val="19"/>
        </w:rPr>
        <w:t xml:space="preserve">注：上述相关系数为全样本 Pearson 线性相关系数，反映长期趋势同步性。短期（30日滚动）相关系数波动较大，需结合时段背景解读。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B0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五、部署与运行说明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环境要求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560"/>
      </w:tblGrid>
      <w:tr>
        <w:tc>
          <w:tcPr>
            <w:tcW w:type="dxa" w:w="2200"/>
            <w:tcBorders>
              <w:top w:val="single" w:color="1A56B0" w:sz="8"/>
              <w:left w:val="single" w:color="1A56B0" w:sz="8"/>
              <w:bottom w:val="single" w:color="1A56B0" w:sz="8"/>
              <w:right w:val="single" w:color="1A56B0" w:sz="8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依赖项</w:t>
            </w:r>
          </w:p>
        </w:tc>
        <w:tc>
          <w:tcPr>
            <w:tcW w:type="dxa" w:w="2200"/>
            <w:tcBorders>
              <w:top w:val="single" w:color="1A56B0" w:sz="8"/>
              <w:left w:val="single" w:color="1A56B0" w:sz="8"/>
              <w:bottom w:val="single" w:color="1A56B0" w:sz="8"/>
              <w:right w:val="single" w:color="1A56B0" w:sz="8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版本要求</w:t>
            </w:r>
          </w:p>
        </w:tc>
        <w:tc>
          <w:tcPr>
            <w:tcW w:type="dxa" w:w="5560"/>
            <w:tcBorders>
              <w:top w:val="single" w:color="1A56B0" w:sz="8"/>
              <w:left w:val="single" w:color="1A56B0" w:sz="8"/>
              <w:bottom w:val="single" w:color="1A56B0" w:sz="8"/>
              <w:right w:val="single" w:color="1A56B0" w:sz="8"/>
            </w:tcBorders>
            <w:shd w:fill="1A56B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3.8 +</w:t>
            </w:r>
          </w:p>
        </w:tc>
        <w:tc>
          <w:tcPr>
            <w:tcW w:type="dxa" w:w="55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后端运行环境</w:t>
            </w:r>
          </w:p>
        </w:tc>
      </w:tr>
      <w:tr>
        <w:tc>
          <w:tcPr>
            <w:tcW w:type="dxa" w:w="22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Flask</w:t>
            </w:r>
          </w:p>
        </w:tc>
        <w:tc>
          <w:tcPr>
            <w:tcW w:type="dxa" w:w="22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2.x</w:t>
            </w:r>
          </w:p>
        </w:tc>
        <w:tc>
          <w:tcPr>
            <w:tcW w:type="dxa" w:w="55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Web 框架</w:t>
            </w:r>
          </w:p>
        </w:tc>
      </w:tr>
      <w:tr>
        <w:tc>
          <w:tcPr>
            <w:tcW w:type="dxa" w:w="22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Flask-CORS</w:t>
            </w:r>
          </w:p>
        </w:tc>
        <w:tc>
          <w:tcPr>
            <w:tcW w:type="dxa" w:w="22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最新版</w:t>
            </w:r>
          </w:p>
        </w:tc>
        <w:tc>
          <w:tcPr>
            <w:tcW w:type="dxa" w:w="55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跨域资源共享</w:t>
            </w:r>
          </w:p>
        </w:tc>
      </w:tr>
      <w:tr>
        <w:tc>
          <w:tcPr>
            <w:tcW w:type="dxa" w:w="22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Pandas</w:t>
            </w:r>
          </w:p>
        </w:tc>
        <w:tc>
          <w:tcPr>
            <w:tcW w:type="dxa" w:w="22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1.x +</w:t>
            </w:r>
          </w:p>
        </w:tc>
        <w:tc>
          <w:tcPr>
            <w:tcW w:type="dxa" w:w="55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数据处理</w:t>
            </w:r>
          </w:p>
        </w:tc>
      </w:tr>
      <w:tr>
        <w:tc>
          <w:tcPr>
            <w:tcW w:type="dxa" w:w="22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NumPy</w:t>
            </w:r>
          </w:p>
        </w:tc>
        <w:tc>
          <w:tcPr>
            <w:tcW w:type="dxa" w:w="22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1.x +</w:t>
            </w:r>
          </w:p>
        </w:tc>
        <w:tc>
          <w:tcPr>
            <w:tcW w:type="dxa" w:w="55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数值计算</w:t>
            </w:r>
          </w:p>
        </w:tc>
      </w:tr>
      <w:tr>
        <w:tc>
          <w:tcPr>
            <w:tcW w:type="dxa" w:w="22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Node.js</w:t>
            </w:r>
          </w:p>
        </w:tc>
        <w:tc>
          <w:tcPr>
            <w:tcW w:type="dxa" w:w="22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14.x +（可选）</w:t>
            </w:r>
          </w:p>
        </w:tc>
        <w:tc>
          <w:tcPr>
            <w:tcW w:type="dxa" w:w="55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2F3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仅用于生成本报告文档</w:t>
            </w:r>
          </w:p>
        </w:tc>
      </w:tr>
      <w:tr>
        <w:tc>
          <w:tcPr>
            <w:tcW w:type="dxa" w:w="22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现代浏览器</w:t>
            </w:r>
          </w:p>
        </w:tc>
        <w:tc>
          <w:tcPr>
            <w:tcW w:type="dxa" w:w="220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Chrome / Edge / Firefox</w:t>
            </w:r>
          </w:p>
        </w:tc>
        <w:tc>
          <w:tcPr>
            <w:tcW w:type="dxa" w:w="5560"/>
            <w:tcBorders>
              <w:top w:val="single" w:color="AED6F1" w:sz="8"/>
              <w:left w:val="single" w:color="AED6F1" w:sz="8"/>
              <w:bottom w:val="single" w:color="AED6F1" w:sz="8"/>
              <w:right w:val="single" w:color="AED6F1" w:sz="8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访问前端页面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安装依赖</w:t>
      </w:r>
    </w:p>
    <w:p>
      <w:pPr>
        <w:spacing w:after="60" w:before="60" w:line="3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在终端执行以下命令安装 Python 依赖：</w:t>
      </w:r>
    </w:p>
    <w:p>
      <w:pPr>
        <w:spacing w:after="40" w:before="40"/>
      </w:pPr>
      <w:r>
        <w:t xml:space="preserve"/>
      </w:r>
    </w:p>
    <w:p>
      <w:pPr>
        <w:pBdr>
          <w:left w:val="single" w:color="1A56B0" w:sz="20" w:space="8"/>
        </w:pBdr>
        <w:shd w:fill="1E2430" w:val="clear"/>
        <w:spacing w:after="80" w:before="80"/>
      </w:pPr>
      <w:r>
        <w:rPr>
          <w:rFonts w:ascii="Courier New" w:cs="Courier New" w:eastAsia="Courier New" w:hAnsi="Courier New"/>
          <w:color w:val="A8D8FF"/>
          <w:sz w:val="20"/>
          <w:szCs w:val="20"/>
        </w:rPr>
        <w:t xml:space="preserve">pip install flask flask-cors pandas numpy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启动服务</w:t>
      </w:r>
    </w:p>
    <w:p>
      <w:pPr>
        <w:spacing w:after="60" w:before="60" w:line="3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进入项目目录后执行：</w:t>
      </w:r>
    </w:p>
    <w:p>
      <w:pPr>
        <w:spacing w:after="40" w:before="40"/>
      </w:pPr>
      <w:r>
        <w:t xml:space="preserve"/>
      </w:r>
    </w:p>
    <w:p>
      <w:pPr>
        <w:pBdr>
          <w:left w:val="single" w:color="1A56B0" w:sz="20" w:space="8"/>
        </w:pBdr>
        <w:shd w:fill="1E2430" w:val="clear"/>
        <w:spacing w:after="80" w:before="80"/>
      </w:pPr>
      <w:r>
        <w:rPr>
          <w:rFonts w:ascii="Courier New" w:cs="Courier New" w:eastAsia="Courier New" w:hAnsi="Courier New"/>
          <w:color w:val="A8D8FF"/>
          <w:sz w:val="20"/>
          <w:szCs w:val="20"/>
        </w:rPr>
        <w:t xml:space="preserve">python app.py</w:t>
      </w:r>
    </w:p>
    <w:p>
      <w:pPr>
        <w:spacing w:after="40" w:before="40"/>
      </w:pPr>
      <w:r>
        <w:t xml:space="preserve"/>
      </w:r>
    </w:p>
    <w:p>
      <w:pPr>
        <w:spacing w:after="60" w:before="60" w:line="3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服务启动后，打开浏览器访问：http://127.0.0.1:5000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5.4 数据文件路径</w:t>
      </w:r>
    </w:p>
    <w:p>
      <w:pPr>
        <w:spacing w:after="60" w:before="60" w:line="3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数据文件默认读取路径为：</w:t>
      </w:r>
    </w:p>
    <w:p>
      <w:pPr>
        <w:pBdr>
          <w:left w:val="single" w:color="1A56B0" w:sz="20" w:space="8"/>
        </w:pBdr>
        <w:shd w:fill="1E2430" w:val="clear"/>
        <w:spacing w:after="80" w:before="80"/>
      </w:pPr>
      <w:r>
        <w:rPr>
          <w:rFonts w:ascii="Courier New" w:cs="Courier New" w:eastAsia="Courier New" w:hAnsi="Courier New"/>
          <w:color w:val="A8D8FF"/>
          <w:sz w:val="20"/>
          <w:szCs w:val="20"/>
        </w:rPr>
        <w:t xml:space="preserve">C:/Users/黄卓行/Desktop/证券分析/</w:t>
      </w:r>
    </w:p>
    <w:p>
      <w:pPr>
        <w:spacing w:after="60" w:before="60" w:line="340"/>
      </w:pPr>
      <w:r>
        <w:rPr>
          <w:rFonts w:ascii="Arial" w:cs="Arial" w:eastAsia="Arial" w:hAnsi="Arial"/>
          <w:b w:val="false"/>
          <w:bCs w:val="false"/>
          <w:color w:val="7F8C8D"/>
          <w:sz w:val="19"/>
          <w:szCs w:val="19"/>
        </w:rPr>
        <w:t xml:space="preserve">如需更改，修改 app.py 顶部的 DATA_DIR 变量即可。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B0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六、后续优化建议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数据层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接入实时行情 API（如 Tushare Pro / 同花顺），实现每日自动更新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增加个股两融数据，支持按标的分析融资融券结构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引入市场情绪指标（换手率、涨跌停家数）增强分析维度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功能层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增加 K 线图（OHLC）替代当前收盘价折线图，提供更专业的技术分析视角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添加两融余额分位数指标，判断当前杠杆水平在历史中的相对位置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实现多周期滚动相关系数对比（7日 / 30日 / 90日）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增加简单的量化因子回测模块（如两融异动信号对后市收益的预测效果）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6.3 工程层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将数据文件迁移至数据库（SQLite / PostgreSQL），提升大数据量下的查询性能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添加用户权限管理与访问日志记录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支持图表导出为 PNG / CSV 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容器化部署（Docker），便于跨环境迁移与生产发布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1A56B0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A56B0"/>
          <w:sz w:val="32"/>
          <w:szCs w:val="32"/>
        </w:rPr>
        <w:t xml:space="preserve">七、总结</w:t>
      </w:r>
    </w:p>
    <w:p>
      <w:pPr>
        <w:spacing w:after="60" w:before="60" w:line="3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本系统基于沪深两市近 32 年的指数历史数据和 12 年的两融交易数据，构建了一套功能完善、交互友好的金融数据可视化分析平台。系统采用前后端分离架构，后端通过 Flask 提供标准化 RESTful API，前端基于 ECharts 实现丰富的交互图表，覆盖行情走势、资金流向、相关性分析、年度对比等核心分析场景。</w:t>
      </w:r>
    </w:p>
    <w:p>
      <w:pPr>
        <w:spacing w:after="40" w:before="40"/>
      </w:pPr>
      <w:r>
        <w:t xml:space="preserve"/>
      </w:r>
    </w:p>
    <w:p>
      <w:pPr>
        <w:spacing w:after="60" w:before="60" w:line="34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分析结果显示，沪深两市指数与两融余额之间存在显著的强正相关性（r &gt; 0.77），印证了杠杆资金在中国 A 股市场中的重要作用。系统将持续迭代，逐步接入实时数据源并拓展量化分析能力。</w:t>
      </w:r>
    </w:p>
    <w:p>
      <w:pPr>
        <w:spacing w:after="40" w:before="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ED6F1" w:sz="6" w:space="4"/>
      </w:pBd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2026年4月26日    第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B0" w:sz="6" w:space="4"/>
      </w:pBdr>
    </w:pPr>
    <w:r>
      <w:rPr>
        <w:rFonts w:ascii="Arial" w:cs="Arial" w:eastAsia="Arial" w:hAnsi="Arial"/>
        <w:b/>
        <w:bCs/>
        <w:color w:val="2E86C1"/>
        <w:sz w:val="18"/>
        <w:szCs w:val="18"/>
      </w:rPr>
      <w:t xml:space="preserve">沪深两市金融数据分析系统</w:t>
    </w:r>
    <w:r>
      <w:rPr>
        <w:rFonts w:ascii="Arial" w:cs="Arial" w:eastAsia="Arial" w:hAnsi="Arial"/>
        <w:color w:val="7F8C8D"/>
        <w:sz w:val="18"/>
        <w:szCs w:val="18"/>
      </w:rPr>
      <w:t xml:space="preserve">    项目报告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6B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2026-04-26T02:04:52.959Z</dcterms:created>
  <dcterms:modified xsi:type="dcterms:W3CDTF">2026-04-26T02:04:52.960Z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