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 Проект исследования: Влияние физической активности на профилактику остеопороза у женщин в постменопаузе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 1. Популяция и вопрос исследования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Популяция:</w:t>
      </w:r>
      <w:r w:rsidDel="00000000" w:rsidR="00000000" w:rsidRPr="00000000">
        <w:rPr>
          <w:rtl w:val="0"/>
        </w:rPr>
        <w:t xml:space="preserve"> Женщины в возрасте 50-70 лет, находящиеся в постменопаузе.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Вопрос исследования:</w:t>
      </w:r>
      <w:r w:rsidDel="00000000" w:rsidR="00000000" w:rsidRPr="00000000">
        <w:rPr>
          <w:rtl w:val="0"/>
        </w:rPr>
        <w:t xml:space="preserve"> Каково влияние регулярной физической активности на снижение риска развития остеопороза у женщин в постменопаузе?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### 2. Дизайн исследования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Дизайн: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Проспективное</w:t>
      </w:r>
      <w:r w:rsidDel="00000000" w:rsidR="00000000" w:rsidRPr="00000000">
        <w:rPr>
          <w:rtl w:val="0"/>
        </w:rPr>
        <w:t xml:space="preserve"> когортное исследование с контрольной группой.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Вмешательство (Intervention) - физическая активность</w:t>
      </w:r>
    </w:p>
    <w:p w:rsidR="00000000" w:rsidDel="00000000" w:rsidP="00000000" w:rsidRDefault="00000000" w:rsidRPr="00000000" w14:paraId="0000000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Можем еще написать, как будут формироваться группы</w:t>
      </w:r>
    </w:p>
    <w:p w:rsidR="00000000" w:rsidDel="00000000" w:rsidP="00000000" w:rsidRDefault="00000000" w:rsidRPr="00000000" w14:paraId="0000000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Распределение : Рандомизированное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Интервенционная модель : Параллельное исследование</w:t>
      </w:r>
    </w:p>
    <w:p w:rsidR="00000000" w:rsidDel="00000000" w:rsidP="00000000" w:rsidRDefault="00000000" w:rsidRPr="00000000" w14:paraId="0000001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Ослепление : Двойное (Участник, Исследователь)</w:t>
      </w:r>
    </w:p>
    <w:p w:rsidR="00000000" w:rsidDel="00000000" w:rsidP="00000000" w:rsidRDefault="00000000" w:rsidRPr="00000000" w14:paraId="00000011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Группы:</w:t>
      </w:r>
    </w:p>
    <w:p w:rsidR="00000000" w:rsidDel="00000000" w:rsidP="00000000" w:rsidRDefault="00000000" w:rsidRPr="00000000" w14:paraId="00000013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Группа 1 (активная группа): 500 женщин, которым рекомендуется регулярная физическая активность (3-5 раз в неделю, включая аэробные и силовые упражнения).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Группа 2 (контрольная группа): 500 женщин, которым рекомендуется обычная физическая активность (менее 3 раз в неделю).</w:t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rtl w:val="0"/>
        </w:rPr>
        <w:t xml:space="preserve">Стратификация: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По ИМТ:</w:t>
      </w:r>
    </w:p>
    <w:p w:rsidR="00000000" w:rsidDel="00000000" w:rsidP="00000000" w:rsidRDefault="00000000" w:rsidRPr="00000000" w14:paraId="00000018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Нормальный ИМТ (18.5–24.9)</w:t>
      </w:r>
    </w:p>
    <w:p w:rsidR="00000000" w:rsidDel="00000000" w:rsidP="00000000" w:rsidRDefault="00000000" w:rsidRPr="00000000" w14:paraId="00000019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Избыточный вес (25–29.9)</w:t>
      </w:r>
    </w:p>
    <w:p w:rsidR="00000000" w:rsidDel="00000000" w:rsidP="00000000" w:rsidRDefault="00000000" w:rsidRPr="00000000" w14:paraId="0000001A">
      <w:pPr>
        <w:rPr>
          <w:color w:val="38761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8761d"/>
          <w:rtl w:val="0"/>
        </w:rPr>
        <w:t xml:space="preserve">Ожирение (≥30)</w:t>
      </w:r>
    </w:p>
    <w:p w:rsidR="00000000" w:rsidDel="00000000" w:rsidP="00000000" w:rsidRDefault="00000000" w:rsidRPr="00000000" w14:paraId="0000001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По возрасту:</w:t>
      </w:r>
    </w:p>
    <w:p w:rsidR="00000000" w:rsidDel="00000000" w:rsidP="00000000" w:rsidRDefault="00000000" w:rsidRPr="00000000" w14:paraId="0000001C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50–59 лет</w:t>
      </w:r>
    </w:p>
    <w:p w:rsidR="00000000" w:rsidDel="00000000" w:rsidP="00000000" w:rsidRDefault="00000000" w:rsidRPr="00000000" w14:paraId="0000001D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60–70 лет</w:t>
      </w:r>
    </w:p>
    <w:p w:rsidR="00000000" w:rsidDel="00000000" w:rsidP="00000000" w:rsidRDefault="00000000" w:rsidRPr="00000000" w14:paraId="0000001E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По гормональной терапии:</w:t>
      </w:r>
    </w:p>
    <w:p w:rsidR="00000000" w:rsidDel="00000000" w:rsidP="00000000" w:rsidRDefault="00000000" w:rsidRPr="00000000" w14:paraId="0000001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Прием ГЗТ</w:t>
      </w:r>
    </w:p>
    <w:p w:rsidR="00000000" w:rsidDel="00000000" w:rsidP="00000000" w:rsidRDefault="00000000" w:rsidRPr="00000000" w14:paraId="00000020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Без приема ГЗТ</w:t>
      </w:r>
    </w:p>
    <w:p w:rsidR="00000000" w:rsidDel="00000000" w:rsidP="00000000" w:rsidRDefault="00000000" w:rsidRPr="00000000" w14:paraId="00000021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По диетическим факторам:</w:t>
      </w:r>
    </w:p>
    <w:p w:rsidR="00000000" w:rsidDel="00000000" w:rsidP="00000000" w:rsidRDefault="00000000" w:rsidRPr="00000000" w14:paraId="00000022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Достаточное потребление кальция и витамина D</w:t>
      </w:r>
    </w:p>
    <w:p w:rsidR="00000000" w:rsidDel="00000000" w:rsidP="00000000" w:rsidRDefault="00000000" w:rsidRPr="00000000" w14:paraId="00000023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rtl w:val="0"/>
        </w:rPr>
        <w:t xml:space="preserve">Недостаточное потребление кальция и витамина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Выборка: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1000</w:t>
      </w:r>
      <w:r w:rsidDel="00000000" w:rsidR="00000000" w:rsidRPr="00000000">
        <w:rPr>
          <w:rtl w:val="0"/>
        </w:rPr>
        <w:t xml:space="preserve"> женщин в возрасте 50-70 лет, находящихся в постменопаузе.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Группы: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- Группа 1 (активная группа): 500 женщин, которым рекомендуется регулярная физическая активность (3-5 раз в неделю, включая аэробные и силовые упражнения).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Группа 2 (контрольная группа): 500 женщин, которым рекомендуется обычная физическая активность (менее 3 раз в неделю).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Срок исследования:</w:t>
      </w:r>
      <w:r w:rsidDel="00000000" w:rsidR="00000000" w:rsidRPr="00000000">
        <w:rPr>
          <w:rtl w:val="0"/>
        </w:rPr>
        <w:t xml:space="preserve"> 5 лет.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Сбор данных: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- Начальный осмотр: сбор анамнеза, измерение костной минеральной плотности (КМП) с помощью денситометрии.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- Ежегодные осмотры: контроль уровня физической активности, измерение КМП, оценка сопутствующих факторов риска (диета, прием витаминов, курение, употребление алкоголя).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Критерии включения: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Предоставление письменного информированного согласия на участие в исследовании;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Субъекты женского пола в возрасте от 50 до 70 лет;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Аменорея в течение &gt;= 12 месяцев, которую нельзя объяснить какой-либо причиной кроме менопаузы;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Способность субъекта, по мнению исследователя, соблюдать процедуры протокола.</w:t>
      </w:r>
    </w:p>
    <w:p w:rsidR="00000000" w:rsidDel="00000000" w:rsidP="00000000" w:rsidRDefault="00000000" w:rsidRPr="00000000" w14:paraId="00000036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Критерии невключения: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Клинически значимые отклонения в ОАК, БАК или ОАМ на скрининге;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Острые или хронические заболевания, которые могут помешать выполнению процедур исследования; </w:t>
      </w:r>
      <w:r w:rsidDel="00000000" w:rsidR="00000000" w:rsidRPr="00000000">
        <w:rPr>
          <w:color w:val="274e13"/>
          <w:rtl w:val="0"/>
        </w:rPr>
        <w:t xml:space="preserve">=&gt; расширила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Хроническая сердечная недостаточность (NYHA class &gt; 2)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Инфаркт миокарда, нестабильная стенокардия в анамнезе за последние 6 месяцев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Острое нарушение мозгового кровообращения в анамнезе за последние 6 месяцев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Наличие неврологических заболеваний (например, деменция, афазия, моторные нарушения), которые могут помешать коммуникации с персоналом и следованию инструкциям. Наличие психиатрического заболевания, пребывание в остром состоянии, которое может помешать коммуникации с персоналом и следованию инструкциям.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Наличие имплантов как верхних, так и нижних конечностей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Плохо контролируемая артериальная гипертензия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Наличие симптоматической ортостатической гипертензии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Наличие симптоматического заболевания периферических сосудов (например, активные жалобы на перемежающую хромоту)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Наличие подтвержденного остеопороза или положительный хотя бы один из следующих критериев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T-score</w:t>
      </w: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rtl w:val="0"/>
        </w:rPr>
        <w:t xml:space="preserve"> ≤ -2.5 стандартных отклонений (SDs) на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двухэнергетической рентгеновской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абсорб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циометрии (ДЭРА)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T-score</w:t>
      </w:r>
      <w:r w:rsidDel="00000000" w:rsidR="00000000" w:rsidRPr="00000000">
        <w:rPr>
          <w:color w:val="274e13"/>
          <w:sz w:val="24"/>
          <w:szCs w:val="24"/>
          <w:rtl w:val="0"/>
        </w:rPr>
        <w:t xml:space="preserve"> -1 до -2.5 SD у пациентов с высоким риском остеопоротического перелома, история остеопоротического перелома (вне зависимости от МПК)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color w:val="4a86e8"/>
          <w:u w:val="none"/>
        </w:rPr>
      </w:pPr>
      <w:r w:rsidDel="00000000" w:rsidR="00000000" w:rsidRPr="00000000">
        <w:rPr>
          <w:color w:val="4a86e8"/>
          <w:rtl w:val="0"/>
        </w:rPr>
        <w:t xml:space="preserve">или любых других костных патологий.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### 3. Изучаемое воздействие, изучаемый исход и мера ассоциации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Изучаемое воздействие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Уровень физической активности (активная группа vs. контрольная группа).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Изучаемый исход: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Первичный исход</w:t>
      </w:r>
      <w:r w:rsidDel="00000000" w:rsidR="00000000" w:rsidRPr="00000000">
        <w:rPr>
          <w:rtl w:val="0"/>
        </w:rPr>
        <w:t xml:space="preserve">: Снижение костной минеральной плотности (КМП) на </w:t>
      </w:r>
      <w:r w:rsidDel="00000000" w:rsidR="00000000" w:rsidRPr="00000000">
        <w:rPr>
          <w:rtl w:val="0"/>
        </w:rPr>
        <w:t xml:space="preserve">5% и более</w:t>
      </w:r>
      <w:r w:rsidDel="00000000" w:rsidR="00000000" w:rsidRPr="00000000">
        <w:rPr>
          <w:rtl w:val="0"/>
        </w:rPr>
        <w:t xml:space="preserve"> за 5 лет.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 Вторичные исходы: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- Частота переломов (шейки бедра, позвоночника, запястья).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- Уровень маркеров костного обмена (например, костной специфической щелочной фосфатаза, остеокальцин).</w:t>
      </w:r>
    </w:p>
    <w:p w:rsidR="00000000" w:rsidDel="00000000" w:rsidP="00000000" w:rsidRDefault="00000000" w:rsidRPr="00000000" w14:paraId="0000004C">
      <w:pPr>
        <w:rPr>
          <w:color w:val="274e13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274e13"/>
          <w:rtl w:val="0"/>
        </w:rPr>
        <w:t xml:space="preserve">Качество жизни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Оценить боязнь падения - </w:t>
      </w: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Falls Efficacy Scale International - FES-I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Мышечная сила - Hand grip (KG) я не знаю как лучшеэто перевести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Подвижность в суставах - оценить амплитуду в плечевом суставе, коленном суставе, бедренном суставе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ИМТ - изменился ли он за это время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74e13"/>
          <w:sz w:val="24"/>
          <w:szCs w:val="24"/>
          <w:highlight w:val="white"/>
          <w:rtl w:val="0"/>
        </w:rPr>
        <w:t xml:space="preserve">Хождение - 6-Minute Walk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Нулевая гипотеза: отсутствие превосходства активной группы по вышеуказанному параметру (первичная конечная точка) относительно контрольной группы.</w:t>
      </w:r>
    </w:p>
    <w:p w:rsidR="00000000" w:rsidDel="00000000" w:rsidP="00000000" w:rsidRDefault="00000000" w:rsidRPr="00000000" w14:paraId="00000054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155cc"/>
        </w:rPr>
      </w:pPr>
      <m:oMath>
        <m:r>
          <w:rPr>
            <w:color w:val="1155cc"/>
          </w:rPr>
          <m:t xml:space="preserve">КМП(активная) - КМП(контроль) </m:t>
        </m:r>
        <m:r>
          <w:rPr>
            <w:color w:val="1155cc"/>
          </w:rPr>
          <m:t>≥</m:t>
        </m:r>
        <m:r>
          <w:rPr>
            <w:color w:val="1155cc"/>
          </w:rPr>
          <m:t xml:space="preserve"> 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Мера ассоциации:</w:t>
      </w:r>
      <w:r w:rsidDel="00000000" w:rsidR="00000000" w:rsidRPr="00000000">
        <w:rPr>
          <w:rtl w:val="0"/>
        </w:rPr>
        <w:t xml:space="preserve"> Относительный риск (ОР) и отношение шансов (ОШ) для снижения риска развития остеопороза и переломов в активной группе по сравнению с контрольной группой.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Поменял на ОР и ОШ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Отношение рисков (ОР):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ОР — это отношение вероятности возникновения события (например, развития остеопороза или переломов) в активной группе к вероятности возникновения того же события в контрольной группе.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ОР = 1: Нет разницы между группами.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ОР &lt; 1: Риск в активной группе ниже, чем в контрольной группе.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ОР &gt; 1: Риск в активной группе выше, чем в контрольной группе.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Отношение шансов (ОШ):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ОШ — это отношение шансов возникновения события в активной группе к шансам возникновения того же события в контрольной группе.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ОШ = 1: Нет разницы между группами.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ОШ &lt; 1: Шансы в активной группе ниже, чем в контрольной группе.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ОШ &gt; 1: Шансы в активной группе выше, чем в контрольной группе.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4. Ограничения исследования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Сложности и искажения:</w:t>
      </w:r>
    </w:p>
    <w:p w:rsidR="00000000" w:rsidDel="00000000" w:rsidP="00000000" w:rsidRDefault="00000000" w:rsidRPr="00000000" w14:paraId="0000006F">
      <w:pPr>
        <w:rPr>
          <w:color w:val="274e13"/>
        </w:rPr>
      </w:pPr>
      <w:r w:rsidDel="00000000" w:rsidR="00000000" w:rsidRPr="00000000">
        <w:rPr>
          <w:rtl w:val="0"/>
        </w:rPr>
        <w:t xml:space="preserve">- Селективный bias: Возможность неравномерного распределения сопутствующих факторов риска (например, диета, прием витаминов) между группами. </w:t>
      </w:r>
      <w:r w:rsidDel="00000000" w:rsidR="00000000" w:rsidRPr="00000000">
        <w:rPr>
          <w:color w:val="274e13"/>
          <w:rtl w:val="0"/>
        </w:rPr>
        <w:t xml:space="preserve">Поэтому пишем про рандомизацию и стратификацию рисков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- Обойти: Рандомизация участников в группы, использование стратификации по ключевым факторам риска.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Информационный bias: Неточное измерение уровня физической активности и костной минеральной плотности.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- Обойти: Использование стандартизированных методов измерения, обучение участников и персонала.</w:t>
      </w:r>
    </w:p>
    <w:p w:rsidR="00000000" w:rsidDel="00000000" w:rsidP="00000000" w:rsidRDefault="00000000" w:rsidRPr="00000000" w14:paraId="00000073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- Когнитивный bias - у нас появились опросники, а ответы могут меняться если пациентки будут знать, в каких они группах, при этом исследователи могут подтягивать результаты под что-то нужное зная кто в каких группах (Pygmallion effect)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color w:val="274e13"/>
          <w:rtl w:val="0"/>
        </w:rPr>
        <w:t xml:space="preserve">Обойти: </w:t>
      </w:r>
      <w:r w:rsidDel="00000000" w:rsidR="00000000" w:rsidRPr="00000000">
        <w:rPr>
          <w:color w:val="274e13"/>
          <w:rtl w:val="0"/>
        </w:rPr>
        <w:t xml:space="preserve">решаем ослеплением</w:t>
      </w:r>
      <w:r w:rsidDel="00000000" w:rsidR="00000000" w:rsidRPr="00000000">
        <w:rPr>
          <w:color w:val="274e13"/>
          <w:rtl w:val="0"/>
        </w:rPr>
        <w:t xml:space="preserve"> на уровне пациента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74e13"/>
        </w:rPr>
      </w:pPr>
      <w:r w:rsidDel="00000000" w:rsidR="00000000" w:rsidRPr="00000000">
        <w:rPr>
          <w:color w:val="274e13"/>
          <w:rtl w:val="0"/>
        </w:rPr>
        <w:t xml:space="preserve">Основной способ ибежать конфаундинга считается рандомизация. Еще это можно избежать с помощью crossover study design, а также stratified analysis ( который мы сделали). Вот это теперь важно для мер ассоциаций (кратко - нам нужно считать именно стратифицированные отношение шансов)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0" w:line="360" w:lineRule="auto"/>
        <w:ind w:left="960" w:hanging="360"/>
        <w:rPr>
          <w:rFonts w:ascii="Arial" w:cs="Arial" w:eastAsia="Arial" w:hAnsi="Arial"/>
          <w:color w:val="274e13"/>
          <w:sz w:val="20"/>
          <w:szCs w:val="20"/>
        </w:rPr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Calculate the crude (or unadjusted) measure of association for the population (e.g., crude OR. )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960" w:hanging="360"/>
        <w:rPr>
          <w:rFonts w:ascii="Arial" w:cs="Arial" w:eastAsia="Arial" w:hAnsi="Arial"/>
          <w:color w:val="274e13"/>
          <w:sz w:val="20"/>
          <w:szCs w:val="20"/>
        </w:rPr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Stratify participants into subgroups according to a third variable considered to be a potential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confounder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(e.g., age,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gender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, race) to control for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confounding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effects and evaluate for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effect modification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60" w:lineRule="auto"/>
        <w:ind w:left="960" w:hanging="360"/>
        <w:rPr>
          <w:rFonts w:ascii="Arial" w:cs="Arial" w:eastAsia="Arial" w:hAnsi="Arial"/>
          <w:color w:val="274e13"/>
          <w:sz w:val="20"/>
          <w:szCs w:val="20"/>
        </w:rPr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After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stratification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, new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measures of association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may be calculated: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20" w:hanging="360"/>
        <w:rPr>
          <w:rFonts w:ascii="Arial" w:cs="Arial" w:eastAsia="Arial" w:hAnsi="Arial"/>
          <w:color w:val="274e13"/>
          <w:sz w:val="20"/>
          <w:szCs w:val="20"/>
        </w:rPr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Stratum-specific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measures of association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(e.g., stratum-specific ORs) 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1920" w:hanging="360"/>
        <w:rPr>
          <w:rFonts w:ascii="Arial" w:cs="Arial" w:eastAsia="Arial" w:hAnsi="Arial"/>
          <w:color w:val="274e13"/>
          <w:sz w:val="20"/>
          <w:szCs w:val="20"/>
        </w:rPr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Adjusted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measures of association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(e.g., adjusted OR) 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0" w:beforeAutospacing="0" w:line="360" w:lineRule="auto"/>
        <w:ind w:left="960" w:hanging="360"/>
        <w:rPr>
          <w:rFonts w:ascii="Arial" w:cs="Arial" w:eastAsia="Arial" w:hAnsi="Arial"/>
          <w:color w:val="274e13"/>
          <w:sz w:val="20"/>
          <w:szCs w:val="20"/>
        </w:rPr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The results of a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stratified analysis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can help to distinguish whether a variable is an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effect modifier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or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confounder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before="60" w:line="360" w:lineRule="auto"/>
        <w:ind w:left="0" w:firstLine="0"/>
        <w:rPr/>
      </w:pPr>
      <w:r w:rsidDel="00000000" w:rsidR="00000000" w:rsidRPr="00000000">
        <w:rPr>
          <w:color w:val="274e13"/>
          <w:sz w:val="20"/>
          <w:szCs w:val="20"/>
          <w:rtl w:val="0"/>
        </w:rPr>
        <w:t xml:space="preserve">Таже мы можем стандартизовать данные - Z-score и другие методы стандартизации и провести 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Multiple linear regression</w:t>
      </w:r>
      <w:r w:rsidDel="00000000" w:rsidR="00000000" w:rsidRPr="00000000">
        <w:rPr>
          <w:color w:val="274e13"/>
          <w:sz w:val="20"/>
          <w:szCs w:val="20"/>
          <w:rtl w:val="0"/>
        </w:rPr>
        <w:t xml:space="preserve">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color w:val="274e13"/>
          <w:u w:val="none"/>
        </w:rPr>
      </w:pPr>
      <w:r w:rsidDel="00000000" w:rsidR="00000000" w:rsidRPr="00000000">
        <w:rPr>
          <w:color w:val="274e13"/>
          <w:rtl w:val="0"/>
        </w:rPr>
        <w:t xml:space="preserve">Ошибка выжившего (attrition bias) - потеря участников в проспективном исследовании</w:t>
      </w:r>
    </w:p>
    <w:p w:rsidR="00000000" w:rsidDel="00000000" w:rsidP="00000000" w:rsidRDefault="00000000" w:rsidRPr="00000000" w14:paraId="0000007F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274e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Влияние на результаты: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Неучтенные конфаундеры могут исказить оценку эффекта физической активности.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Неточное измерение уровня физической активности может привести к ошибочным выводам о ее влиянии.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### 5. Возможные результаты исследования и их интерпретация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Возможные результаты: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1. Положительный результат: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- ОР/ОШ &lt; 1: Регулярная физическая активность снижает риск развития остеопороза и переломов у женщин в постменопаузе.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- Интерпретация: Физическая активность может быть эффективным средством профилактики остеопороза, рекомендуется включать ее в программы профилактики для женщин в постменопаузе.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2. Нейтральный результат: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ОР/ОШ ≈ 1: Физическая активность не оказывает существенного влияния на риск развития остеопороза и переломов.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Интерпретация: Необходимо продолжить исследования для выявления других факторов, влияющих на развитие остеопороза.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3. Отрицательный результат: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ОР/ОШ &gt; 1: Физическая активность может увеличивать риск развития остеопороза и переломов.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- Интерпретация: Необходимо пересмотреть рекомендации по физической активности для женщин в постменопаузе, возможно, стоит ограничить интенсивность и типы упражнений.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Заключение: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Исследование позволит оценить влияние регулярной физической активности на профилактику остеопороза у женщин в постменопаузе, что имеет важное клиническое значение для разработки рекомендаций по профилактике и лечению остеопороза.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2385"/>
        <w:gridCol w:w="2550"/>
        <w:gridCol w:w="2715"/>
        <w:gridCol w:w="2520"/>
        <w:tblGridChange w:id="0">
          <w:tblGrid>
            <w:gridCol w:w="3705"/>
            <w:gridCol w:w="2385"/>
            <w:gridCol w:w="2550"/>
            <w:gridCol w:w="2715"/>
            <w:gridCol w:w="2520"/>
          </w:tblGrid>
        </w:tblGridChange>
      </w:tblGrid>
      <w:tr>
        <w:trPr>
          <w:cantSplit w:val="0"/>
          <w:trHeight w:val="9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№Визита/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Неделя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Процедура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Скрининг (до 2 недель)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Визит 1 (Неделя 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Визит 2, 4, 6, 8, 10 (Неделя 26, 78, 130, 182, 234)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Визит 3, 5, 7, 9, 11 (Неделя 52, 104, 156, 208, 260)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Получение информированного согласия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Сбор демографических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7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Сбор данных анамнеза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7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3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6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Сбор данных о предшествующей\сопутствующей терапии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9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3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8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Денситометрия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Физикальный осмотр\оценка витальных показателей, измерение ИМТ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4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Оценка качества жизни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5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4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Шкала депрессии Бека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5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ОАК, БАК, ОАМ, определение уровня кальция и vitD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1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8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Выдача\контроль\изъятие дневника пациента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2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Телефонный контакт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654925" y="1164750"/>
                                <a:ext cx="391500" cy="361500"/>
                              </a:xfrm>
                              <a:prstGeom prst="mathPlus">
                                <a:avLst>
                                  <a:gd fmla="val 23520" name="adj1"/>
                                </a:avLst>
                              </a:prstGeom>
                              <a:solidFill>
                                <a:srgbClr val="000000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205154" cy="190500"/>
                      <wp:effectExtent b="0" l="0" r="0" t="0"/>
                      <wp:docPr id="16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5154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ходе телефонного контакта исследователь должен убедиться в комплаентности субъекта, осуществить сбор данных по сопутствующей терапии и дополнительному анамнезу.</w:t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c1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1a1c1c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5.png"/><Relationship Id="rId21" Type="http://schemas.openxmlformats.org/officeDocument/2006/relationships/image" Target="media/image14.png"/><Relationship Id="rId24" Type="http://schemas.openxmlformats.org/officeDocument/2006/relationships/image" Target="media/image24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5.png"/><Relationship Id="rId25" Type="http://schemas.openxmlformats.org/officeDocument/2006/relationships/image" Target="media/image11.png"/><Relationship Id="rId28" Type="http://schemas.openxmlformats.org/officeDocument/2006/relationships/image" Target="media/image3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29" Type="http://schemas.openxmlformats.org/officeDocument/2006/relationships/image" Target="media/image18.png"/><Relationship Id="rId7" Type="http://schemas.openxmlformats.org/officeDocument/2006/relationships/image" Target="media/image8.png"/><Relationship Id="rId8" Type="http://schemas.openxmlformats.org/officeDocument/2006/relationships/image" Target="media/image27.png"/><Relationship Id="rId31" Type="http://schemas.openxmlformats.org/officeDocument/2006/relationships/image" Target="media/image22.png"/><Relationship Id="rId30" Type="http://schemas.openxmlformats.org/officeDocument/2006/relationships/image" Target="media/image1.png"/><Relationship Id="rId11" Type="http://schemas.openxmlformats.org/officeDocument/2006/relationships/image" Target="media/image23.png"/><Relationship Id="rId33" Type="http://schemas.openxmlformats.org/officeDocument/2006/relationships/image" Target="media/image16.png"/><Relationship Id="rId10" Type="http://schemas.openxmlformats.org/officeDocument/2006/relationships/image" Target="media/image17.png"/><Relationship Id="rId32" Type="http://schemas.openxmlformats.org/officeDocument/2006/relationships/image" Target="media/image2.png"/><Relationship Id="rId13" Type="http://schemas.openxmlformats.org/officeDocument/2006/relationships/image" Target="media/image19.png"/><Relationship Id="rId12" Type="http://schemas.openxmlformats.org/officeDocument/2006/relationships/image" Target="media/image26.png"/><Relationship Id="rId15" Type="http://schemas.openxmlformats.org/officeDocument/2006/relationships/image" Target="media/image13.png"/><Relationship Id="rId14" Type="http://schemas.openxmlformats.org/officeDocument/2006/relationships/image" Target="media/image20.png"/><Relationship Id="rId17" Type="http://schemas.openxmlformats.org/officeDocument/2006/relationships/image" Target="media/image12.png"/><Relationship Id="rId16" Type="http://schemas.openxmlformats.org/officeDocument/2006/relationships/image" Target="media/image28.png"/><Relationship Id="rId19" Type="http://schemas.openxmlformats.org/officeDocument/2006/relationships/image" Target="media/image4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