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E75A1" w14:textId="77777777" w:rsidR="0046784B" w:rsidRDefault="0046784B" w:rsidP="0046784B">
      <w:pPr>
        <w:ind w:firstLine="70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Задание на отбор стажера:</w:t>
      </w:r>
    </w:p>
    <w:p w14:paraId="7EF3710F" w14:textId="2B73A410" w:rsidR="0046784B" w:rsidRDefault="0046784B" w:rsidP="004678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Объясните </w:t>
      </w:r>
      <w:r w:rsidR="00B623AC">
        <w:rPr>
          <w:rFonts w:ascii="Times New Roman" w:hAnsi="Times New Roman" w:cs="Times New Roman"/>
          <w:sz w:val="24"/>
          <w:szCs w:val="24"/>
        </w:rPr>
        <w:t>необходимость наличия</w:t>
      </w:r>
      <w:r>
        <w:rPr>
          <w:rFonts w:ascii="Times New Roman" w:hAnsi="Times New Roman" w:cs="Times New Roman"/>
          <w:sz w:val="24"/>
          <w:szCs w:val="24"/>
        </w:rPr>
        <w:t xml:space="preserve"> в экспрессионной кассете сигнал</w:t>
      </w:r>
      <w:r w:rsidR="00B623AC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полиаденилирования, из чего он состоит и есть ли </w:t>
      </w:r>
      <w:r w:rsidR="00B623AC">
        <w:rPr>
          <w:rFonts w:ascii="Times New Roman" w:hAnsi="Times New Roman" w:cs="Times New Roman"/>
          <w:sz w:val="24"/>
          <w:szCs w:val="24"/>
        </w:rPr>
        <w:t>случаи,</w:t>
      </w:r>
      <w:r>
        <w:rPr>
          <w:rFonts w:ascii="Times New Roman" w:hAnsi="Times New Roman" w:cs="Times New Roman"/>
          <w:sz w:val="24"/>
          <w:szCs w:val="24"/>
        </w:rPr>
        <w:t xml:space="preserve"> когда сигнал полиаденилирования заменяют на другие аналогичные по функциям элементы.</w:t>
      </w:r>
    </w:p>
    <w:p w14:paraId="4DC4378D" w14:textId="5F32D828" w:rsidR="00117AB6" w:rsidRDefault="0059089B" w:rsidP="0059089B">
      <w:pPr>
        <w:spacing w:line="257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089B">
        <w:rPr>
          <w:rFonts w:ascii="Times New Roman" w:hAnsi="Times New Roman" w:cs="Times New Roman"/>
          <w:sz w:val="24"/>
          <w:szCs w:val="24"/>
        </w:rPr>
        <w:t xml:space="preserve">Полиаденилирование - это </w:t>
      </w:r>
      <w:r>
        <w:rPr>
          <w:rFonts w:ascii="Times New Roman" w:hAnsi="Times New Roman" w:cs="Times New Roman"/>
          <w:sz w:val="24"/>
          <w:szCs w:val="24"/>
        </w:rPr>
        <w:t>пост-</w:t>
      </w:r>
      <w:r w:rsidRPr="0059089B">
        <w:rPr>
          <w:rFonts w:ascii="Times New Roman" w:hAnsi="Times New Roman" w:cs="Times New Roman"/>
          <w:sz w:val="24"/>
          <w:szCs w:val="24"/>
        </w:rPr>
        <w:t xml:space="preserve">транскрипционное добавление нескольких нуклеотидов аденина (А) 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9089B">
        <w:rPr>
          <w:rFonts w:ascii="Times New Roman" w:hAnsi="Times New Roman" w:cs="Times New Roman"/>
          <w:sz w:val="24"/>
          <w:szCs w:val="24"/>
        </w:rPr>
        <w:t>’-</w:t>
      </w:r>
      <w:r>
        <w:rPr>
          <w:rFonts w:ascii="Times New Roman" w:hAnsi="Times New Roman" w:cs="Times New Roman"/>
          <w:sz w:val="24"/>
          <w:szCs w:val="24"/>
        </w:rPr>
        <w:t>концу</w:t>
      </w:r>
      <w:r w:rsidRPr="0059089B">
        <w:rPr>
          <w:rFonts w:ascii="Times New Roman" w:hAnsi="Times New Roman" w:cs="Times New Roman"/>
          <w:sz w:val="24"/>
          <w:szCs w:val="24"/>
        </w:rPr>
        <w:t xml:space="preserve"> транскрипта мРНК. Цель и механизм полиаденилирования варьируют в разных типах клеток, но в целом полиаденилирование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59089B">
        <w:rPr>
          <w:rFonts w:ascii="Times New Roman" w:hAnsi="Times New Roman" w:cs="Times New Roman"/>
          <w:sz w:val="24"/>
          <w:szCs w:val="24"/>
        </w:rPr>
        <w:t xml:space="preserve"> для защи</w:t>
      </w:r>
      <w:r>
        <w:rPr>
          <w:rFonts w:ascii="Times New Roman" w:hAnsi="Times New Roman" w:cs="Times New Roman"/>
          <w:sz w:val="24"/>
          <w:szCs w:val="24"/>
        </w:rPr>
        <w:t>ты</w:t>
      </w:r>
      <w:r w:rsidRPr="0059089B">
        <w:rPr>
          <w:rFonts w:ascii="Times New Roman" w:hAnsi="Times New Roman" w:cs="Times New Roman"/>
          <w:sz w:val="24"/>
          <w:szCs w:val="24"/>
        </w:rPr>
        <w:t xml:space="preserve"> мРНК</w:t>
      </w:r>
      <w:r>
        <w:rPr>
          <w:rFonts w:ascii="Times New Roman" w:hAnsi="Times New Roman" w:cs="Times New Roman"/>
          <w:sz w:val="24"/>
          <w:szCs w:val="24"/>
        </w:rPr>
        <w:t xml:space="preserve"> от действия клеточных нуклеаз, что увеличивает</w:t>
      </w:r>
      <w:r w:rsidRPr="0059089B">
        <w:rPr>
          <w:rFonts w:ascii="Times New Roman" w:hAnsi="Times New Roman" w:cs="Times New Roman"/>
          <w:sz w:val="24"/>
          <w:szCs w:val="24"/>
        </w:rPr>
        <w:t xml:space="preserve"> время ее </w:t>
      </w:r>
      <w:r>
        <w:rPr>
          <w:rFonts w:ascii="Times New Roman" w:hAnsi="Times New Roman" w:cs="Times New Roman"/>
          <w:sz w:val="24"/>
          <w:szCs w:val="24"/>
        </w:rPr>
        <w:t>пребывания</w:t>
      </w:r>
      <w:r w:rsidRPr="0059089B">
        <w:rPr>
          <w:rFonts w:ascii="Times New Roman" w:hAnsi="Times New Roman" w:cs="Times New Roman"/>
          <w:sz w:val="24"/>
          <w:szCs w:val="24"/>
        </w:rPr>
        <w:t xml:space="preserve"> в клетке у эукариот</w:t>
      </w:r>
      <w:r>
        <w:rPr>
          <w:rFonts w:ascii="Times New Roman" w:hAnsi="Times New Roman" w:cs="Times New Roman"/>
          <w:sz w:val="24"/>
          <w:szCs w:val="24"/>
        </w:rPr>
        <w:t>, а также</w:t>
      </w:r>
      <w:r w:rsidRPr="0059089B">
        <w:rPr>
          <w:rFonts w:ascii="Times New Roman" w:hAnsi="Times New Roman" w:cs="Times New Roman"/>
          <w:sz w:val="24"/>
          <w:szCs w:val="24"/>
        </w:rPr>
        <w:t xml:space="preserve"> для деградации транскрипта у прокариот [1,</w:t>
      </w:r>
      <w:r w:rsidR="006018EF">
        <w:rPr>
          <w:rFonts w:ascii="Times New Roman" w:hAnsi="Times New Roman" w:cs="Times New Roman"/>
          <w:sz w:val="24"/>
          <w:szCs w:val="24"/>
        </w:rPr>
        <w:t>2</w:t>
      </w:r>
      <w:r w:rsidRPr="0059089B">
        <w:rPr>
          <w:rFonts w:ascii="Times New Roman" w:hAnsi="Times New Roman" w:cs="Times New Roman"/>
          <w:sz w:val="24"/>
          <w:szCs w:val="24"/>
        </w:rPr>
        <w:t>].</w:t>
      </w:r>
      <w:r w:rsidR="006018EF">
        <w:rPr>
          <w:rFonts w:ascii="Times New Roman" w:hAnsi="Times New Roman" w:cs="Times New Roman"/>
          <w:sz w:val="24"/>
          <w:szCs w:val="24"/>
        </w:rPr>
        <w:t xml:space="preserve"> П</w:t>
      </w:r>
      <w:r w:rsidR="006018EF" w:rsidRPr="006018EF">
        <w:rPr>
          <w:rFonts w:ascii="Times New Roman" w:hAnsi="Times New Roman" w:cs="Times New Roman"/>
          <w:sz w:val="24"/>
          <w:szCs w:val="24"/>
        </w:rPr>
        <w:t>оли(А)</w:t>
      </w:r>
      <w:r w:rsidR="006018EF">
        <w:rPr>
          <w:rFonts w:ascii="Times New Roman" w:hAnsi="Times New Roman" w:cs="Times New Roman"/>
          <w:sz w:val="24"/>
          <w:szCs w:val="24"/>
        </w:rPr>
        <w:t>-хвост</w:t>
      </w:r>
      <w:r w:rsidR="006018EF" w:rsidRPr="006018EF">
        <w:rPr>
          <w:rFonts w:ascii="Times New Roman" w:hAnsi="Times New Roman" w:cs="Times New Roman"/>
          <w:sz w:val="24"/>
          <w:szCs w:val="24"/>
        </w:rPr>
        <w:t xml:space="preserve"> </w:t>
      </w:r>
      <w:r w:rsidR="006018EF">
        <w:rPr>
          <w:rFonts w:ascii="Times New Roman" w:hAnsi="Times New Roman" w:cs="Times New Roman"/>
          <w:sz w:val="24"/>
          <w:szCs w:val="24"/>
        </w:rPr>
        <w:t>необходим</w:t>
      </w:r>
      <w:r w:rsidR="006018EF" w:rsidRPr="006018EF">
        <w:rPr>
          <w:rFonts w:ascii="Times New Roman" w:hAnsi="Times New Roman" w:cs="Times New Roman"/>
          <w:sz w:val="24"/>
          <w:szCs w:val="24"/>
        </w:rPr>
        <w:t xml:space="preserve"> для</w:t>
      </w:r>
      <w:r w:rsidR="006018EF">
        <w:rPr>
          <w:rFonts w:ascii="Times New Roman" w:hAnsi="Times New Roman" w:cs="Times New Roman"/>
          <w:sz w:val="24"/>
          <w:szCs w:val="24"/>
        </w:rPr>
        <w:t xml:space="preserve"> обеспечения</w:t>
      </w:r>
      <w:r w:rsidR="006018EF" w:rsidRPr="006018EF">
        <w:rPr>
          <w:rFonts w:ascii="Times New Roman" w:hAnsi="Times New Roman" w:cs="Times New Roman"/>
          <w:sz w:val="24"/>
          <w:szCs w:val="24"/>
        </w:rPr>
        <w:t xml:space="preserve"> ядерного экспорта, трансляции и стабильности мРНК. Со временем </w:t>
      </w:r>
      <w:r w:rsidR="006018EF">
        <w:rPr>
          <w:rFonts w:ascii="Times New Roman" w:hAnsi="Times New Roman" w:cs="Times New Roman"/>
          <w:sz w:val="24"/>
          <w:szCs w:val="24"/>
        </w:rPr>
        <w:t xml:space="preserve">он укорачивается, и когда </w:t>
      </w:r>
      <w:r w:rsidR="006018EF" w:rsidRPr="006018EF">
        <w:rPr>
          <w:rFonts w:ascii="Times New Roman" w:hAnsi="Times New Roman" w:cs="Times New Roman"/>
          <w:sz w:val="24"/>
          <w:szCs w:val="24"/>
        </w:rPr>
        <w:t>становится достаточно коротким, мРНК подвергается ферментативной деградации.</w:t>
      </w:r>
    </w:p>
    <w:p w14:paraId="70252D2E" w14:textId="26F9A608" w:rsidR="00783A33" w:rsidRDefault="00DF5979" w:rsidP="0059089B">
      <w:pPr>
        <w:spacing w:line="257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DF5979">
        <w:rPr>
          <w:rFonts w:ascii="Times New Roman" w:hAnsi="Times New Roman" w:cs="Times New Roman"/>
          <w:sz w:val="24"/>
          <w:szCs w:val="24"/>
        </w:rPr>
        <w:t>игнал поли</w:t>
      </w:r>
      <w:r>
        <w:rPr>
          <w:rFonts w:ascii="Times New Roman" w:hAnsi="Times New Roman" w:cs="Times New Roman"/>
          <w:sz w:val="24"/>
          <w:szCs w:val="24"/>
        </w:rPr>
        <w:t>аденилирования</w:t>
      </w:r>
      <w:r w:rsidRPr="00DF5979">
        <w:rPr>
          <w:rFonts w:ascii="Times New Roman" w:hAnsi="Times New Roman" w:cs="Times New Roman"/>
          <w:sz w:val="24"/>
          <w:szCs w:val="24"/>
        </w:rPr>
        <w:t xml:space="preserve"> у позвоночных состоит из двух распознающих элементов, фланкирующих сайт расщепл</w:t>
      </w:r>
      <w:r>
        <w:rPr>
          <w:rFonts w:ascii="Times New Roman" w:hAnsi="Times New Roman" w:cs="Times New Roman"/>
          <w:sz w:val="24"/>
          <w:szCs w:val="24"/>
        </w:rPr>
        <w:t>ения-полиаденилирования</w:t>
      </w:r>
      <w:r w:rsidRPr="00DF597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Первый - консервативный</w:t>
      </w:r>
      <w:r w:rsidRPr="00DF5979">
        <w:rPr>
          <w:rFonts w:ascii="Times New Roman" w:hAnsi="Times New Roman" w:cs="Times New Roman"/>
          <w:sz w:val="24"/>
          <w:szCs w:val="24"/>
        </w:rPr>
        <w:t xml:space="preserve"> гексамер </w:t>
      </w:r>
      <w:r w:rsidRPr="00DF5979">
        <w:rPr>
          <w:rFonts w:ascii="Times New Roman" w:hAnsi="Times New Roman" w:cs="Times New Roman"/>
          <w:sz w:val="24"/>
          <w:szCs w:val="24"/>
          <w:lang w:val="en-US"/>
        </w:rPr>
        <w:t>AAUAAA</w:t>
      </w:r>
      <w:r>
        <w:rPr>
          <w:rFonts w:ascii="Times New Roman" w:hAnsi="Times New Roman" w:cs="Times New Roman"/>
          <w:sz w:val="24"/>
          <w:szCs w:val="24"/>
        </w:rPr>
        <w:t>, который</w:t>
      </w:r>
      <w:r w:rsidRPr="00DF5979">
        <w:rPr>
          <w:rFonts w:ascii="Times New Roman" w:hAnsi="Times New Roman" w:cs="Times New Roman"/>
          <w:sz w:val="24"/>
          <w:szCs w:val="24"/>
        </w:rPr>
        <w:t xml:space="preserve"> располагается на 20-50 нуклеотидов (нт) выше по </w:t>
      </w:r>
      <w:r>
        <w:rPr>
          <w:rFonts w:ascii="Times New Roman" w:hAnsi="Times New Roman" w:cs="Times New Roman"/>
          <w:sz w:val="24"/>
          <w:szCs w:val="24"/>
        </w:rPr>
        <w:t>отношению к</w:t>
      </w:r>
      <w:r w:rsidRPr="00DF5979">
        <w:rPr>
          <w:rFonts w:ascii="Times New Roman" w:hAnsi="Times New Roman" w:cs="Times New Roman"/>
          <w:sz w:val="24"/>
          <w:szCs w:val="24"/>
        </w:rPr>
        <w:t xml:space="preserve"> более вариабельн</w:t>
      </w:r>
      <w:r>
        <w:rPr>
          <w:rFonts w:ascii="Times New Roman" w:hAnsi="Times New Roman" w:cs="Times New Roman"/>
          <w:sz w:val="24"/>
          <w:szCs w:val="24"/>
        </w:rPr>
        <w:t>ому</w:t>
      </w:r>
      <w:r w:rsidRPr="00DF5979">
        <w:rPr>
          <w:rFonts w:ascii="Times New Roman" w:hAnsi="Times New Roman" w:cs="Times New Roman"/>
          <w:sz w:val="24"/>
          <w:szCs w:val="24"/>
        </w:rPr>
        <w:t xml:space="preserve"> элемент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DF5979">
        <w:rPr>
          <w:rFonts w:ascii="Times New Roman" w:hAnsi="Times New Roman" w:cs="Times New Roman"/>
          <w:sz w:val="24"/>
          <w:szCs w:val="24"/>
        </w:rPr>
        <w:t>, богато</w:t>
      </w:r>
      <w:r>
        <w:rPr>
          <w:rFonts w:ascii="Times New Roman" w:hAnsi="Times New Roman" w:cs="Times New Roman"/>
          <w:sz w:val="24"/>
          <w:szCs w:val="24"/>
        </w:rPr>
        <w:t>му</w:t>
      </w:r>
      <w:r w:rsidRPr="00DF5979">
        <w:rPr>
          <w:rFonts w:ascii="Times New Roman" w:hAnsi="Times New Roman" w:cs="Times New Roman"/>
          <w:sz w:val="24"/>
          <w:szCs w:val="24"/>
        </w:rPr>
        <w:t xml:space="preserve"> остатками </w:t>
      </w:r>
      <w:r>
        <w:rPr>
          <w:rFonts w:ascii="Times New Roman" w:hAnsi="Times New Roman" w:cs="Times New Roman"/>
          <w:sz w:val="24"/>
          <w:szCs w:val="24"/>
        </w:rPr>
        <w:t xml:space="preserve">урациала </w:t>
      </w:r>
      <w:r w:rsidRPr="00DF597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DF5979">
        <w:rPr>
          <w:rFonts w:ascii="Times New Roman" w:hAnsi="Times New Roman" w:cs="Times New Roman"/>
          <w:sz w:val="24"/>
          <w:szCs w:val="24"/>
        </w:rPr>
        <w:t xml:space="preserve">) или </w:t>
      </w:r>
      <w:r w:rsidRPr="00DF5979">
        <w:rPr>
          <w:rFonts w:ascii="Times New Roman" w:hAnsi="Times New Roman" w:cs="Times New Roman"/>
          <w:sz w:val="24"/>
          <w:szCs w:val="24"/>
          <w:lang w:val="en-US"/>
        </w:rPr>
        <w:t>GU</w:t>
      </w:r>
      <w:r w:rsidR="008A3D99">
        <w:rPr>
          <w:rFonts w:ascii="Times New Roman" w:hAnsi="Times New Roman" w:cs="Times New Roman"/>
          <w:sz w:val="24"/>
          <w:szCs w:val="24"/>
        </w:rPr>
        <w:t xml:space="preserve"> (рис. 1)</w:t>
      </w:r>
      <w:r w:rsidRPr="00DF5979">
        <w:rPr>
          <w:rFonts w:ascii="Times New Roman" w:hAnsi="Times New Roman" w:cs="Times New Roman"/>
          <w:sz w:val="24"/>
          <w:szCs w:val="24"/>
        </w:rPr>
        <w:t xml:space="preserve">. Расщепление </w:t>
      </w:r>
      <w:r>
        <w:rPr>
          <w:rFonts w:ascii="Times New Roman" w:hAnsi="Times New Roman" w:cs="Times New Roman"/>
          <w:sz w:val="24"/>
          <w:szCs w:val="24"/>
        </w:rPr>
        <w:t>ново синтезированного</w:t>
      </w:r>
      <w:r w:rsidRPr="00DF5979">
        <w:rPr>
          <w:rFonts w:ascii="Times New Roman" w:hAnsi="Times New Roman" w:cs="Times New Roman"/>
          <w:sz w:val="24"/>
          <w:szCs w:val="24"/>
        </w:rPr>
        <w:t xml:space="preserve"> транскрипта происходит между этими двумя элементами и связано с добавлением до 250 аденозинов к 5′ продукту расщепления. Расщепление опосредуется большим многокомпонентным белковым комплексом, который </w:t>
      </w:r>
      <w:r w:rsidR="008A3D99">
        <w:rPr>
          <w:rFonts w:ascii="Times New Roman" w:hAnsi="Times New Roman" w:cs="Times New Roman"/>
          <w:sz w:val="24"/>
          <w:szCs w:val="24"/>
        </w:rPr>
        <w:t>состоит из</w:t>
      </w:r>
      <w:r w:rsidRPr="00DF5979">
        <w:rPr>
          <w:rFonts w:ascii="Times New Roman" w:hAnsi="Times New Roman" w:cs="Times New Roman"/>
          <w:sz w:val="24"/>
          <w:szCs w:val="24"/>
        </w:rPr>
        <w:t xml:space="preserve"> пят</w:t>
      </w:r>
      <w:r w:rsidR="008A3D99">
        <w:rPr>
          <w:rFonts w:ascii="Times New Roman" w:hAnsi="Times New Roman" w:cs="Times New Roman"/>
          <w:sz w:val="24"/>
          <w:szCs w:val="24"/>
        </w:rPr>
        <w:t>и</w:t>
      </w:r>
      <w:r w:rsidRPr="00DF5979">
        <w:rPr>
          <w:rFonts w:ascii="Times New Roman" w:hAnsi="Times New Roman" w:cs="Times New Roman"/>
          <w:sz w:val="24"/>
          <w:szCs w:val="24"/>
        </w:rPr>
        <w:t xml:space="preserve"> различных факторов. Два из этих факторов - фактор специфичности расщепления и полиаденилирования (</w:t>
      </w:r>
      <w:r w:rsidRPr="00DF5979">
        <w:rPr>
          <w:rFonts w:ascii="Times New Roman" w:hAnsi="Times New Roman" w:cs="Times New Roman"/>
          <w:sz w:val="24"/>
          <w:szCs w:val="24"/>
          <w:lang w:val="en-US"/>
        </w:rPr>
        <w:t>CPSF</w:t>
      </w:r>
      <w:r w:rsidRPr="00DF5979">
        <w:rPr>
          <w:rFonts w:ascii="Times New Roman" w:hAnsi="Times New Roman" w:cs="Times New Roman"/>
          <w:sz w:val="24"/>
          <w:szCs w:val="24"/>
        </w:rPr>
        <w:t xml:space="preserve">), который связывает мотив </w:t>
      </w:r>
      <w:r w:rsidRPr="00DF5979">
        <w:rPr>
          <w:rFonts w:ascii="Times New Roman" w:hAnsi="Times New Roman" w:cs="Times New Roman"/>
          <w:sz w:val="24"/>
          <w:szCs w:val="24"/>
          <w:lang w:val="en-US"/>
        </w:rPr>
        <w:t>AAUAAA</w:t>
      </w:r>
      <w:r w:rsidRPr="00DF5979">
        <w:rPr>
          <w:rFonts w:ascii="Times New Roman" w:hAnsi="Times New Roman" w:cs="Times New Roman"/>
          <w:sz w:val="24"/>
          <w:szCs w:val="24"/>
        </w:rPr>
        <w:t>, и фактор стимуляции расщепления (</w:t>
      </w:r>
      <w:r w:rsidRPr="00DF5979">
        <w:rPr>
          <w:rFonts w:ascii="Times New Roman" w:hAnsi="Times New Roman" w:cs="Times New Roman"/>
          <w:sz w:val="24"/>
          <w:szCs w:val="24"/>
          <w:lang w:val="en-US"/>
        </w:rPr>
        <w:t>CstF</w:t>
      </w:r>
      <w:r w:rsidRPr="00DF5979">
        <w:rPr>
          <w:rFonts w:ascii="Times New Roman" w:hAnsi="Times New Roman" w:cs="Times New Roman"/>
          <w:sz w:val="24"/>
          <w:szCs w:val="24"/>
        </w:rPr>
        <w:t xml:space="preserve">), который связывает расположенный ниже по течению </w:t>
      </w:r>
      <w:r w:rsidRPr="00DF5979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DF5979">
        <w:rPr>
          <w:rFonts w:ascii="Times New Roman" w:hAnsi="Times New Roman" w:cs="Times New Roman"/>
          <w:sz w:val="24"/>
          <w:szCs w:val="24"/>
        </w:rPr>
        <w:t xml:space="preserve">-богатый элемент. Исследования </w:t>
      </w:r>
      <w:r w:rsidRPr="00DF5979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DF5979">
        <w:rPr>
          <w:rFonts w:ascii="Times New Roman" w:hAnsi="Times New Roman" w:cs="Times New Roman"/>
          <w:sz w:val="24"/>
          <w:szCs w:val="24"/>
        </w:rPr>
        <w:t xml:space="preserve"> </w:t>
      </w:r>
      <w:r w:rsidRPr="00DF5979">
        <w:rPr>
          <w:rFonts w:ascii="Times New Roman" w:hAnsi="Times New Roman" w:cs="Times New Roman"/>
          <w:sz w:val="24"/>
          <w:szCs w:val="24"/>
          <w:lang w:val="en-US"/>
        </w:rPr>
        <w:t>vitro</w:t>
      </w:r>
      <w:r w:rsidRPr="00DF5979">
        <w:rPr>
          <w:rFonts w:ascii="Times New Roman" w:hAnsi="Times New Roman" w:cs="Times New Roman"/>
          <w:sz w:val="24"/>
          <w:szCs w:val="24"/>
        </w:rPr>
        <w:t xml:space="preserve"> показывают, что </w:t>
      </w:r>
      <w:r w:rsidRPr="00DF5979">
        <w:rPr>
          <w:rFonts w:ascii="Times New Roman" w:hAnsi="Times New Roman" w:cs="Times New Roman"/>
          <w:sz w:val="24"/>
          <w:szCs w:val="24"/>
          <w:lang w:val="en-US"/>
        </w:rPr>
        <w:t>CPSF</w:t>
      </w:r>
      <w:r w:rsidRPr="00DF5979">
        <w:rPr>
          <w:rFonts w:ascii="Times New Roman" w:hAnsi="Times New Roman" w:cs="Times New Roman"/>
          <w:sz w:val="24"/>
          <w:szCs w:val="24"/>
        </w:rPr>
        <w:t xml:space="preserve"> и, возможно, </w:t>
      </w:r>
      <w:r w:rsidRPr="00DF5979">
        <w:rPr>
          <w:rFonts w:ascii="Times New Roman" w:hAnsi="Times New Roman" w:cs="Times New Roman"/>
          <w:sz w:val="24"/>
          <w:szCs w:val="24"/>
          <w:lang w:val="en-US"/>
        </w:rPr>
        <w:t>CstF</w:t>
      </w:r>
      <w:r w:rsidRPr="00DF5979">
        <w:rPr>
          <w:rFonts w:ascii="Times New Roman" w:hAnsi="Times New Roman" w:cs="Times New Roman"/>
          <w:sz w:val="24"/>
          <w:szCs w:val="24"/>
        </w:rPr>
        <w:t xml:space="preserve"> присоединяются к полимеразе на промоторе. Предположительно они затем перемещаются вместе с полимеразой во время транскрипции, сканируя </w:t>
      </w:r>
      <w:r w:rsidR="008A3D99">
        <w:rPr>
          <w:rFonts w:ascii="Times New Roman" w:hAnsi="Times New Roman" w:cs="Times New Roman"/>
          <w:sz w:val="24"/>
          <w:szCs w:val="24"/>
        </w:rPr>
        <w:t>синтезируемый</w:t>
      </w:r>
      <w:r w:rsidRPr="00DF5979">
        <w:rPr>
          <w:rFonts w:ascii="Times New Roman" w:hAnsi="Times New Roman" w:cs="Times New Roman"/>
          <w:sz w:val="24"/>
          <w:szCs w:val="24"/>
        </w:rPr>
        <w:t xml:space="preserve"> транскрипт, чтобы </w:t>
      </w:r>
      <w:r w:rsidR="008A3D99">
        <w:rPr>
          <w:rFonts w:ascii="Times New Roman" w:hAnsi="Times New Roman" w:cs="Times New Roman"/>
          <w:sz w:val="24"/>
          <w:szCs w:val="24"/>
        </w:rPr>
        <w:t>обнаружить</w:t>
      </w:r>
      <w:r w:rsidRPr="00DF5979">
        <w:rPr>
          <w:rFonts w:ascii="Times New Roman" w:hAnsi="Times New Roman" w:cs="Times New Roman"/>
          <w:sz w:val="24"/>
          <w:szCs w:val="24"/>
        </w:rPr>
        <w:t xml:space="preserve"> сайт поли(А), когда он появляется. </w:t>
      </w:r>
      <w:r w:rsidR="008A3D99">
        <w:rPr>
          <w:rFonts w:ascii="Times New Roman" w:hAnsi="Times New Roman" w:cs="Times New Roman"/>
          <w:sz w:val="24"/>
          <w:szCs w:val="24"/>
        </w:rPr>
        <w:t>Термин</w:t>
      </w:r>
      <w:r w:rsidRPr="00DF5979">
        <w:rPr>
          <w:rFonts w:ascii="Times New Roman" w:hAnsi="Times New Roman" w:cs="Times New Roman"/>
          <w:sz w:val="24"/>
          <w:szCs w:val="24"/>
        </w:rPr>
        <w:t xml:space="preserve"> "поли(А) сайт" относится только к точке, в которой происходит расщепление и присоединяется поли(А) хвост, но</w:t>
      </w:r>
      <w:r w:rsidR="008A3D99">
        <w:rPr>
          <w:rFonts w:ascii="Times New Roman" w:hAnsi="Times New Roman" w:cs="Times New Roman"/>
          <w:sz w:val="24"/>
          <w:szCs w:val="24"/>
        </w:rPr>
        <w:t xml:space="preserve"> в данном случае </w:t>
      </w:r>
      <w:r w:rsidRPr="00DF5979">
        <w:rPr>
          <w:rFonts w:ascii="Times New Roman" w:hAnsi="Times New Roman" w:cs="Times New Roman"/>
          <w:sz w:val="24"/>
          <w:szCs w:val="24"/>
        </w:rPr>
        <w:t>этот термин здесь</w:t>
      </w:r>
      <w:r w:rsidR="008A3D99">
        <w:rPr>
          <w:rFonts w:ascii="Times New Roman" w:hAnsi="Times New Roman" w:cs="Times New Roman"/>
          <w:sz w:val="24"/>
          <w:szCs w:val="24"/>
        </w:rPr>
        <w:t xml:space="preserve"> используется</w:t>
      </w:r>
      <w:r w:rsidRPr="00DF5979">
        <w:rPr>
          <w:rFonts w:ascii="Times New Roman" w:hAnsi="Times New Roman" w:cs="Times New Roman"/>
          <w:sz w:val="24"/>
          <w:szCs w:val="24"/>
        </w:rPr>
        <w:t xml:space="preserve"> для обозначения поли(А) сигнала в целом, </w:t>
      </w:r>
      <w:r w:rsidR="008A3D99">
        <w:rPr>
          <w:rFonts w:ascii="Times New Roman" w:hAnsi="Times New Roman" w:cs="Times New Roman"/>
          <w:sz w:val="24"/>
          <w:szCs w:val="24"/>
        </w:rPr>
        <w:t>что</w:t>
      </w:r>
      <w:r w:rsidRPr="00DF5979">
        <w:rPr>
          <w:rFonts w:ascii="Times New Roman" w:hAnsi="Times New Roman" w:cs="Times New Roman"/>
          <w:sz w:val="24"/>
          <w:szCs w:val="24"/>
        </w:rPr>
        <w:t xml:space="preserve"> </w:t>
      </w:r>
      <w:r w:rsidR="008A3D99">
        <w:rPr>
          <w:rFonts w:ascii="Times New Roman" w:hAnsi="Times New Roman" w:cs="Times New Roman"/>
          <w:sz w:val="24"/>
          <w:szCs w:val="24"/>
        </w:rPr>
        <w:t>необходимо для определения</w:t>
      </w:r>
      <w:r w:rsidRPr="00DF5979">
        <w:rPr>
          <w:rFonts w:ascii="Times New Roman" w:hAnsi="Times New Roman" w:cs="Times New Roman"/>
          <w:sz w:val="24"/>
          <w:szCs w:val="24"/>
        </w:rPr>
        <w:t xml:space="preserve"> различи</w:t>
      </w:r>
      <w:r w:rsidR="008A3D99">
        <w:rPr>
          <w:rFonts w:ascii="Times New Roman" w:hAnsi="Times New Roman" w:cs="Times New Roman"/>
          <w:sz w:val="24"/>
          <w:szCs w:val="24"/>
        </w:rPr>
        <w:t>я</w:t>
      </w:r>
      <w:r w:rsidRPr="00DF5979">
        <w:rPr>
          <w:rFonts w:ascii="Times New Roman" w:hAnsi="Times New Roman" w:cs="Times New Roman"/>
          <w:sz w:val="24"/>
          <w:szCs w:val="24"/>
        </w:rPr>
        <w:t xml:space="preserve"> между поли(А) сигналом как </w:t>
      </w:r>
      <w:r w:rsidR="008A3D99">
        <w:rPr>
          <w:rFonts w:ascii="Times New Roman" w:hAnsi="Times New Roman" w:cs="Times New Roman"/>
          <w:sz w:val="24"/>
          <w:szCs w:val="24"/>
        </w:rPr>
        <w:t>последовательностью</w:t>
      </w:r>
      <w:r w:rsidR="008A3D99" w:rsidRPr="00DF5979">
        <w:rPr>
          <w:rFonts w:ascii="Times New Roman" w:hAnsi="Times New Roman" w:cs="Times New Roman"/>
          <w:sz w:val="24"/>
          <w:szCs w:val="24"/>
        </w:rPr>
        <w:t xml:space="preserve"> и</w:t>
      </w:r>
      <w:r w:rsidRPr="00DF5979">
        <w:rPr>
          <w:rFonts w:ascii="Times New Roman" w:hAnsi="Times New Roman" w:cs="Times New Roman"/>
          <w:sz w:val="24"/>
          <w:szCs w:val="24"/>
        </w:rPr>
        <w:t xml:space="preserve"> "поли(А) сигналинг</w:t>
      </w:r>
      <w:r w:rsidR="008A3D99">
        <w:rPr>
          <w:rFonts w:ascii="Times New Roman" w:hAnsi="Times New Roman" w:cs="Times New Roman"/>
          <w:sz w:val="24"/>
          <w:szCs w:val="24"/>
        </w:rPr>
        <w:t>ом</w:t>
      </w:r>
      <w:r w:rsidRPr="00DF5979">
        <w:rPr>
          <w:rFonts w:ascii="Times New Roman" w:hAnsi="Times New Roman" w:cs="Times New Roman"/>
          <w:sz w:val="24"/>
          <w:szCs w:val="24"/>
        </w:rPr>
        <w:t>" как процессом</w:t>
      </w:r>
      <w:r w:rsidR="008A3D99">
        <w:rPr>
          <w:rFonts w:ascii="Times New Roman" w:hAnsi="Times New Roman" w:cs="Times New Roman"/>
          <w:sz w:val="24"/>
          <w:szCs w:val="24"/>
        </w:rPr>
        <w:t xml:space="preserve"> </w:t>
      </w:r>
      <w:r w:rsidR="008A3D99" w:rsidRPr="008A3D99">
        <w:rPr>
          <w:rFonts w:ascii="Times New Roman" w:hAnsi="Times New Roman" w:cs="Times New Roman"/>
          <w:sz w:val="24"/>
          <w:szCs w:val="24"/>
        </w:rPr>
        <w:t>[3]</w:t>
      </w:r>
      <w:r w:rsidRPr="00DF5979">
        <w:rPr>
          <w:rFonts w:ascii="Times New Roman" w:hAnsi="Times New Roman" w:cs="Times New Roman"/>
          <w:sz w:val="24"/>
          <w:szCs w:val="24"/>
        </w:rPr>
        <w:t>.</w:t>
      </w:r>
    </w:p>
    <w:p w14:paraId="0EF21BCF" w14:textId="0F4D1336" w:rsidR="008A3D99" w:rsidRDefault="008A3D99" w:rsidP="008A3D99">
      <w:pPr>
        <w:spacing w:line="257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3BA9380" wp14:editId="389988A8">
            <wp:extent cx="3429000" cy="2725615"/>
            <wp:effectExtent l="0" t="0" r="0" b="0"/>
            <wp:docPr id="1" name="Picture 1" descr="An external file that holds a picture, illustration, etc.&#10;Object name is 1770fi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external file that holds a picture, illustration, etc.&#10;Object name is 1770fig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576" cy="274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8FDFF" w14:textId="480654D2" w:rsidR="008A3D99" w:rsidRDefault="008A3D99" w:rsidP="008A3D99">
      <w:pPr>
        <w:spacing w:line="257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1 – Наглядное изображение элементов, опосредующих </w:t>
      </w:r>
      <w:r w:rsidRPr="00DF5979">
        <w:rPr>
          <w:rFonts w:ascii="Times New Roman" w:hAnsi="Times New Roman" w:cs="Times New Roman"/>
          <w:sz w:val="24"/>
          <w:szCs w:val="24"/>
        </w:rPr>
        <w:t>расщепл</w:t>
      </w:r>
      <w:r>
        <w:rPr>
          <w:rFonts w:ascii="Times New Roman" w:hAnsi="Times New Roman" w:cs="Times New Roman"/>
          <w:sz w:val="24"/>
          <w:szCs w:val="24"/>
        </w:rPr>
        <w:t>ение-полиаденилирование</w:t>
      </w:r>
      <w:r w:rsidR="005B3723">
        <w:rPr>
          <w:rFonts w:ascii="Times New Roman" w:hAnsi="Times New Roman" w:cs="Times New Roman"/>
          <w:sz w:val="24"/>
          <w:szCs w:val="24"/>
        </w:rPr>
        <w:t xml:space="preserve"> </w:t>
      </w:r>
      <w:r w:rsidR="005B3723" w:rsidRPr="005B3723">
        <w:rPr>
          <w:rFonts w:ascii="Times New Roman" w:hAnsi="Times New Roman" w:cs="Times New Roman"/>
          <w:sz w:val="24"/>
          <w:szCs w:val="24"/>
        </w:rPr>
        <w:t>[4]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89867E" w14:textId="1B41DD00" w:rsidR="008A3D99" w:rsidRDefault="005B3723" w:rsidP="005B3723">
      <w:pPr>
        <w:spacing w:line="257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После расщепления</w:t>
      </w:r>
      <w:r w:rsidRPr="005B3723">
        <w:rPr>
          <w:rFonts w:ascii="Times New Roman" w:hAnsi="Times New Roman" w:cs="Times New Roman"/>
          <w:sz w:val="24"/>
          <w:szCs w:val="24"/>
        </w:rPr>
        <w:t xml:space="preserve">, начинается полиаденилирование, катализируемое полиаденилатполимеразой. Полиаденилатполимераза </w:t>
      </w:r>
      <w:r>
        <w:rPr>
          <w:rFonts w:ascii="Times New Roman" w:hAnsi="Times New Roman" w:cs="Times New Roman"/>
          <w:sz w:val="24"/>
          <w:szCs w:val="24"/>
        </w:rPr>
        <w:t>образует</w:t>
      </w:r>
      <w:r w:rsidRPr="005B3723">
        <w:rPr>
          <w:rFonts w:ascii="Times New Roman" w:hAnsi="Times New Roman" w:cs="Times New Roman"/>
          <w:sz w:val="24"/>
          <w:szCs w:val="24"/>
        </w:rPr>
        <w:t xml:space="preserve"> хвост поли(А) путем присоединения к РНК аденозинмонофосфатны</w:t>
      </w:r>
      <w:r>
        <w:rPr>
          <w:rFonts w:ascii="Times New Roman" w:hAnsi="Times New Roman" w:cs="Times New Roman"/>
          <w:sz w:val="24"/>
          <w:szCs w:val="24"/>
        </w:rPr>
        <w:t>х единиц из аденозинтрифосфата.</w:t>
      </w:r>
    </w:p>
    <w:p w14:paraId="6A3A71F3" w14:textId="77777777" w:rsidR="009746E0" w:rsidRDefault="005F17F7" w:rsidP="005B3723">
      <w:pPr>
        <w:spacing w:line="257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17F7">
        <w:rPr>
          <w:rFonts w:ascii="Times New Roman" w:hAnsi="Times New Roman" w:cs="Times New Roman"/>
          <w:sz w:val="24"/>
          <w:szCs w:val="24"/>
        </w:rPr>
        <w:t xml:space="preserve">Возникновение альтернативного выбора </w:t>
      </w:r>
      <w:r w:rsidR="009746E0">
        <w:rPr>
          <w:rFonts w:ascii="Times New Roman" w:hAnsi="Times New Roman" w:cs="Times New Roman"/>
          <w:sz w:val="24"/>
          <w:szCs w:val="24"/>
        </w:rPr>
        <w:t>сигналов полиаденелирования</w:t>
      </w:r>
      <w:r w:rsidRPr="005F17F7">
        <w:rPr>
          <w:rFonts w:ascii="Times New Roman" w:hAnsi="Times New Roman" w:cs="Times New Roman"/>
          <w:sz w:val="24"/>
          <w:szCs w:val="24"/>
        </w:rPr>
        <w:t xml:space="preserve"> </w:t>
      </w:r>
      <w:r w:rsidR="009746E0">
        <w:rPr>
          <w:rFonts w:ascii="Times New Roman" w:hAnsi="Times New Roman" w:cs="Times New Roman"/>
          <w:sz w:val="24"/>
          <w:szCs w:val="24"/>
        </w:rPr>
        <w:t xml:space="preserve">в </w:t>
      </w:r>
      <w:r w:rsidRPr="005F17F7">
        <w:rPr>
          <w:rFonts w:ascii="Times New Roman" w:hAnsi="Times New Roman" w:cs="Times New Roman"/>
          <w:sz w:val="24"/>
          <w:szCs w:val="24"/>
        </w:rPr>
        <w:t xml:space="preserve">мРНК </w:t>
      </w:r>
      <w:r w:rsidR="009746E0">
        <w:rPr>
          <w:rFonts w:ascii="Times New Roman" w:hAnsi="Times New Roman" w:cs="Times New Roman"/>
          <w:sz w:val="24"/>
          <w:szCs w:val="24"/>
        </w:rPr>
        <w:t xml:space="preserve">считается </w:t>
      </w:r>
      <w:r w:rsidRPr="005F17F7">
        <w:rPr>
          <w:rFonts w:ascii="Times New Roman" w:hAnsi="Times New Roman" w:cs="Times New Roman"/>
          <w:sz w:val="24"/>
          <w:szCs w:val="24"/>
        </w:rPr>
        <w:t xml:space="preserve">относительно случайным процессом. Неспособность одного </w:t>
      </w:r>
      <w:r w:rsidR="009746E0">
        <w:rPr>
          <w:rFonts w:ascii="Times New Roman" w:hAnsi="Times New Roman" w:cs="Times New Roman"/>
          <w:sz w:val="24"/>
          <w:szCs w:val="24"/>
        </w:rPr>
        <w:t>сигнала полиаденелирвоания</w:t>
      </w:r>
      <w:r w:rsidRPr="005F17F7">
        <w:rPr>
          <w:rFonts w:ascii="Times New Roman" w:hAnsi="Times New Roman" w:cs="Times New Roman"/>
          <w:sz w:val="24"/>
          <w:szCs w:val="24"/>
        </w:rPr>
        <w:t xml:space="preserve"> </w:t>
      </w:r>
      <w:r w:rsidR="009746E0">
        <w:rPr>
          <w:rFonts w:ascii="Times New Roman" w:hAnsi="Times New Roman" w:cs="Times New Roman"/>
          <w:sz w:val="24"/>
          <w:szCs w:val="24"/>
        </w:rPr>
        <w:t>полностью завершить мРНК приводило к использованию</w:t>
      </w:r>
      <w:r w:rsidRPr="005F17F7">
        <w:rPr>
          <w:rFonts w:ascii="Times New Roman" w:hAnsi="Times New Roman" w:cs="Times New Roman"/>
          <w:sz w:val="24"/>
          <w:szCs w:val="24"/>
        </w:rPr>
        <w:t xml:space="preserve"> </w:t>
      </w:r>
      <w:r w:rsidR="009746E0">
        <w:rPr>
          <w:rFonts w:ascii="Times New Roman" w:hAnsi="Times New Roman" w:cs="Times New Roman"/>
          <w:sz w:val="24"/>
          <w:szCs w:val="24"/>
        </w:rPr>
        <w:t>последующих сигналов полиаденилирования</w:t>
      </w:r>
      <w:r w:rsidRPr="005F17F7">
        <w:rPr>
          <w:rFonts w:ascii="Times New Roman" w:hAnsi="Times New Roman" w:cs="Times New Roman"/>
          <w:sz w:val="24"/>
          <w:szCs w:val="24"/>
        </w:rPr>
        <w:t xml:space="preserve"> </w:t>
      </w:r>
      <w:r w:rsidR="009746E0">
        <w:rPr>
          <w:rFonts w:ascii="Times New Roman" w:hAnsi="Times New Roman" w:cs="Times New Roman"/>
          <w:sz w:val="24"/>
          <w:szCs w:val="24"/>
        </w:rPr>
        <w:t>в з</w:t>
      </w:r>
      <w:r w:rsidRPr="005F17F7">
        <w:rPr>
          <w:rFonts w:ascii="Times New Roman" w:hAnsi="Times New Roman" w:cs="Times New Roman"/>
          <w:sz w:val="24"/>
          <w:szCs w:val="24"/>
        </w:rPr>
        <w:t>авершени</w:t>
      </w:r>
      <w:r w:rsidR="009746E0">
        <w:rPr>
          <w:rFonts w:ascii="Times New Roman" w:hAnsi="Times New Roman" w:cs="Times New Roman"/>
          <w:sz w:val="24"/>
          <w:szCs w:val="24"/>
        </w:rPr>
        <w:t>и</w:t>
      </w:r>
      <w:r w:rsidRPr="005F17F7">
        <w:rPr>
          <w:rFonts w:ascii="Times New Roman" w:hAnsi="Times New Roman" w:cs="Times New Roman"/>
          <w:sz w:val="24"/>
          <w:szCs w:val="24"/>
        </w:rPr>
        <w:t xml:space="preserve"> транскриптов. </w:t>
      </w:r>
    </w:p>
    <w:p w14:paraId="2D01E829" w14:textId="77777777" w:rsidR="009746E0" w:rsidRDefault="005F17F7" w:rsidP="005B3723">
      <w:pPr>
        <w:spacing w:line="257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17F7">
        <w:rPr>
          <w:rFonts w:ascii="Times New Roman" w:hAnsi="Times New Roman" w:cs="Times New Roman"/>
          <w:sz w:val="24"/>
          <w:szCs w:val="24"/>
        </w:rPr>
        <w:t xml:space="preserve">Таким образом, вставка нескольких одинаковых </w:t>
      </w:r>
      <w:r w:rsidR="009746E0">
        <w:rPr>
          <w:rFonts w:ascii="Times New Roman" w:hAnsi="Times New Roman" w:cs="Times New Roman"/>
          <w:sz w:val="24"/>
          <w:szCs w:val="24"/>
        </w:rPr>
        <w:t>сигналов полиаденелирования</w:t>
      </w:r>
      <w:r w:rsidRPr="005F17F7">
        <w:rPr>
          <w:rFonts w:ascii="Times New Roman" w:hAnsi="Times New Roman" w:cs="Times New Roman"/>
          <w:sz w:val="24"/>
          <w:szCs w:val="24"/>
        </w:rPr>
        <w:t xml:space="preserve"> на 3′ конце искусственных генных конструкций приводит к тому, что все </w:t>
      </w:r>
      <w:r w:rsidR="009746E0">
        <w:rPr>
          <w:rFonts w:ascii="Times New Roman" w:hAnsi="Times New Roman" w:cs="Times New Roman"/>
          <w:sz w:val="24"/>
          <w:szCs w:val="24"/>
        </w:rPr>
        <w:t>эти сигналы</w:t>
      </w:r>
      <w:r w:rsidRPr="005F17F7">
        <w:rPr>
          <w:rFonts w:ascii="Times New Roman" w:hAnsi="Times New Roman" w:cs="Times New Roman"/>
          <w:sz w:val="24"/>
          <w:szCs w:val="24"/>
        </w:rPr>
        <w:t xml:space="preserve"> работают в той или иной степени, давая мРНК с разной длиной 3′ UTR. В целом, если </w:t>
      </w:r>
      <w:r w:rsidR="009746E0">
        <w:rPr>
          <w:rFonts w:ascii="Times New Roman" w:hAnsi="Times New Roman" w:cs="Times New Roman"/>
          <w:sz w:val="24"/>
          <w:szCs w:val="24"/>
        </w:rPr>
        <w:t>сигнал полиаденелирования</w:t>
      </w:r>
      <w:r w:rsidRPr="005F17F7">
        <w:rPr>
          <w:rFonts w:ascii="Times New Roman" w:hAnsi="Times New Roman" w:cs="Times New Roman"/>
          <w:sz w:val="24"/>
          <w:szCs w:val="24"/>
        </w:rPr>
        <w:t xml:space="preserve"> относительно сильн</w:t>
      </w:r>
      <w:r w:rsidR="009746E0">
        <w:rPr>
          <w:rFonts w:ascii="Times New Roman" w:hAnsi="Times New Roman" w:cs="Times New Roman"/>
          <w:sz w:val="24"/>
          <w:szCs w:val="24"/>
        </w:rPr>
        <w:t xml:space="preserve">ый, т.е. </w:t>
      </w:r>
      <w:r w:rsidRPr="005F17F7">
        <w:rPr>
          <w:rFonts w:ascii="Times New Roman" w:hAnsi="Times New Roman" w:cs="Times New Roman"/>
          <w:sz w:val="24"/>
          <w:szCs w:val="24"/>
        </w:rPr>
        <w:t xml:space="preserve">обладает каноническим AAUAAA и четко определенными </w:t>
      </w:r>
      <w:r w:rsidR="009746E0" w:rsidRPr="00DF5979">
        <w:rPr>
          <w:rFonts w:ascii="Times New Roman" w:hAnsi="Times New Roman" w:cs="Times New Roman"/>
          <w:sz w:val="24"/>
          <w:szCs w:val="24"/>
        </w:rPr>
        <w:t>элемент</w:t>
      </w:r>
      <w:r w:rsidR="009746E0">
        <w:rPr>
          <w:rFonts w:ascii="Times New Roman" w:hAnsi="Times New Roman" w:cs="Times New Roman"/>
          <w:sz w:val="24"/>
          <w:szCs w:val="24"/>
        </w:rPr>
        <w:t>ами</w:t>
      </w:r>
      <w:r w:rsidR="009746E0" w:rsidRPr="00DF5979">
        <w:rPr>
          <w:rFonts w:ascii="Times New Roman" w:hAnsi="Times New Roman" w:cs="Times New Roman"/>
          <w:sz w:val="24"/>
          <w:szCs w:val="24"/>
        </w:rPr>
        <w:t>, богат</w:t>
      </w:r>
      <w:r w:rsidR="009746E0">
        <w:rPr>
          <w:rFonts w:ascii="Times New Roman" w:hAnsi="Times New Roman" w:cs="Times New Roman"/>
          <w:sz w:val="24"/>
          <w:szCs w:val="24"/>
        </w:rPr>
        <w:t>ыми</w:t>
      </w:r>
      <w:r w:rsidR="009746E0" w:rsidRPr="00DF5979">
        <w:rPr>
          <w:rFonts w:ascii="Times New Roman" w:hAnsi="Times New Roman" w:cs="Times New Roman"/>
          <w:sz w:val="24"/>
          <w:szCs w:val="24"/>
        </w:rPr>
        <w:t xml:space="preserve"> остатками </w:t>
      </w:r>
      <w:r w:rsidR="009746E0">
        <w:rPr>
          <w:rFonts w:ascii="Times New Roman" w:hAnsi="Times New Roman" w:cs="Times New Roman"/>
          <w:sz w:val="24"/>
          <w:szCs w:val="24"/>
        </w:rPr>
        <w:t xml:space="preserve">урациала </w:t>
      </w:r>
      <w:r w:rsidR="009746E0" w:rsidRPr="00DF5979">
        <w:rPr>
          <w:rFonts w:ascii="Times New Roman" w:hAnsi="Times New Roman" w:cs="Times New Roman"/>
          <w:sz w:val="24"/>
          <w:szCs w:val="24"/>
        </w:rPr>
        <w:t>(</w:t>
      </w:r>
      <w:r w:rsidR="009746E0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9746E0" w:rsidRPr="00DF5979">
        <w:rPr>
          <w:rFonts w:ascii="Times New Roman" w:hAnsi="Times New Roman" w:cs="Times New Roman"/>
          <w:sz w:val="24"/>
          <w:szCs w:val="24"/>
        </w:rPr>
        <w:t xml:space="preserve">) или </w:t>
      </w:r>
      <w:r w:rsidR="009746E0" w:rsidRPr="00DF5979">
        <w:rPr>
          <w:rFonts w:ascii="Times New Roman" w:hAnsi="Times New Roman" w:cs="Times New Roman"/>
          <w:sz w:val="24"/>
          <w:szCs w:val="24"/>
          <w:lang w:val="en-US"/>
        </w:rPr>
        <w:t>GU</w:t>
      </w:r>
      <w:r w:rsidRPr="005F17F7">
        <w:rPr>
          <w:rFonts w:ascii="Times New Roman" w:hAnsi="Times New Roman" w:cs="Times New Roman"/>
          <w:sz w:val="24"/>
          <w:szCs w:val="24"/>
        </w:rPr>
        <w:t>, то перв</w:t>
      </w:r>
      <w:r w:rsidR="009746E0">
        <w:rPr>
          <w:rFonts w:ascii="Times New Roman" w:hAnsi="Times New Roman" w:cs="Times New Roman"/>
          <w:sz w:val="24"/>
          <w:szCs w:val="24"/>
        </w:rPr>
        <w:t>ый</w:t>
      </w:r>
      <w:r w:rsidRPr="005F17F7">
        <w:rPr>
          <w:rFonts w:ascii="Times New Roman" w:hAnsi="Times New Roman" w:cs="Times New Roman"/>
          <w:sz w:val="24"/>
          <w:szCs w:val="24"/>
        </w:rPr>
        <w:t xml:space="preserve"> </w:t>
      </w:r>
      <w:r w:rsidR="009746E0">
        <w:rPr>
          <w:rFonts w:ascii="Times New Roman" w:hAnsi="Times New Roman" w:cs="Times New Roman"/>
          <w:sz w:val="24"/>
          <w:szCs w:val="24"/>
        </w:rPr>
        <w:t>сигнал полиаденилирования</w:t>
      </w:r>
      <w:r w:rsidRPr="005F17F7">
        <w:rPr>
          <w:rFonts w:ascii="Times New Roman" w:hAnsi="Times New Roman" w:cs="Times New Roman"/>
          <w:sz w:val="24"/>
          <w:szCs w:val="24"/>
        </w:rPr>
        <w:t xml:space="preserve"> доминирует, а использование последующих </w:t>
      </w:r>
      <w:r w:rsidR="009746E0">
        <w:rPr>
          <w:rFonts w:ascii="Times New Roman" w:hAnsi="Times New Roman" w:cs="Times New Roman"/>
          <w:sz w:val="24"/>
          <w:szCs w:val="24"/>
        </w:rPr>
        <w:t>сигналов</w:t>
      </w:r>
      <w:r w:rsidRPr="005F17F7">
        <w:rPr>
          <w:rFonts w:ascii="Times New Roman" w:hAnsi="Times New Roman" w:cs="Times New Roman"/>
          <w:sz w:val="24"/>
          <w:szCs w:val="24"/>
        </w:rPr>
        <w:t xml:space="preserve"> все более снижается. Однако, когда </w:t>
      </w:r>
      <w:r w:rsidR="009746E0">
        <w:rPr>
          <w:rFonts w:ascii="Times New Roman" w:hAnsi="Times New Roman" w:cs="Times New Roman"/>
          <w:sz w:val="24"/>
          <w:szCs w:val="24"/>
        </w:rPr>
        <w:t>данный сигнал</w:t>
      </w:r>
      <w:r w:rsidRPr="005F17F7">
        <w:rPr>
          <w:rFonts w:ascii="Times New Roman" w:hAnsi="Times New Roman" w:cs="Times New Roman"/>
          <w:sz w:val="24"/>
          <w:szCs w:val="24"/>
        </w:rPr>
        <w:t xml:space="preserve"> не имеют полных консенсусных сигналов, наблюдается более равномерное распределение распознавания </w:t>
      </w:r>
      <w:r w:rsidR="009746E0">
        <w:rPr>
          <w:rFonts w:ascii="Times New Roman" w:hAnsi="Times New Roman" w:cs="Times New Roman"/>
          <w:sz w:val="24"/>
          <w:szCs w:val="24"/>
        </w:rPr>
        <w:t>сигналов полиаденелирования</w:t>
      </w:r>
      <w:r w:rsidRPr="005F17F7">
        <w:rPr>
          <w:rFonts w:ascii="Times New Roman" w:hAnsi="Times New Roman" w:cs="Times New Roman"/>
          <w:sz w:val="24"/>
          <w:szCs w:val="24"/>
        </w:rPr>
        <w:t xml:space="preserve">. Однако, как правило, более ранний </w:t>
      </w:r>
      <w:r w:rsidR="009746E0">
        <w:rPr>
          <w:rFonts w:ascii="Times New Roman" w:hAnsi="Times New Roman" w:cs="Times New Roman"/>
          <w:sz w:val="24"/>
          <w:szCs w:val="24"/>
        </w:rPr>
        <w:t>сигнал</w:t>
      </w:r>
      <w:r w:rsidRPr="005F17F7">
        <w:rPr>
          <w:rFonts w:ascii="Times New Roman" w:hAnsi="Times New Roman" w:cs="Times New Roman"/>
          <w:sz w:val="24"/>
          <w:szCs w:val="24"/>
        </w:rPr>
        <w:t xml:space="preserve"> в серии из нескольких используется более эффективно, что подразумевает схему "первый пришел - первый обслужил". Предположительно, CTD-связанные поли(A) факторы </w:t>
      </w:r>
      <w:r w:rsidR="009746E0">
        <w:rPr>
          <w:rFonts w:ascii="Times New Roman" w:hAnsi="Times New Roman" w:cs="Times New Roman"/>
          <w:sz w:val="24"/>
          <w:szCs w:val="24"/>
        </w:rPr>
        <w:t xml:space="preserve">связываются с </w:t>
      </w:r>
      <w:r w:rsidRPr="005F17F7">
        <w:rPr>
          <w:rFonts w:ascii="Times New Roman" w:hAnsi="Times New Roman" w:cs="Times New Roman"/>
          <w:sz w:val="24"/>
          <w:szCs w:val="24"/>
        </w:rPr>
        <w:t>более ранни</w:t>
      </w:r>
      <w:r w:rsidR="009746E0">
        <w:rPr>
          <w:rFonts w:ascii="Times New Roman" w:hAnsi="Times New Roman" w:cs="Times New Roman"/>
          <w:sz w:val="24"/>
          <w:szCs w:val="24"/>
        </w:rPr>
        <w:t>ми</w:t>
      </w:r>
      <w:r w:rsidRPr="005F17F7">
        <w:rPr>
          <w:rFonts w:ascii="Times New Roman" w:hAnsi="Times New Roman" w:cs="Times New Roman"/>
          <w:sz w:val="24"/>
          <w:szCs w:val="24"/>
        </w:rPr>
        <w:t xml:space="preserve"> </w:t>
      </w:r>
      <w:r w:rsidR="009746E0">
        <w:rPr>
          <w:rFonts w:ascii="Times New Roman" w:hAnsi="Times New Roman" w:cs="Times New Roman"/>
          <w:sz w:val="24"/>
          <w:szCs w:val="24"/>
        </w:rPr>
        <w:t>сигналами полиаденелирования</w:t>
      </w:r>
      <w:r w:rsidRPr="005F17F7">
        <w:rPr>
          <w:rFonts w:ascii="Times New Roman" w:hAnsi="Times New Roman" w:cs="Times New Roman"/>
          <w:sz w:val="24"/>
          <w:szCs w:val="24"/>
        </w:rPr>
        <w:t>, исключая использование</w:t>
      </w:r>
      <w:r w:rsidR="009746E0">
        <w:rPr>
          <w:rFonts w:ascii="Times New Roman" w:hAnsi="Times New Roman" w:cs="Times New Roman"/>
          <w:sz w:val="24"/>
          <w:szCs w:val="24"/>
        </w:rPr>
        <w:t xml:space="preserve"> этих факторов на последующих</w:t>
      </w:r>
      <w:r w:rsidRPr="005F17F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C81880" w14:textId="66C72CA1" w:rsidR="005B3723" w:rsidRDefault="005F17F7" w:rsidP="005B3723">
      <w:pPr>
        <w:spacing w:line="257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17F7">
        <w:rPr>
          <w:rFonts w:ascii="Times New Roman" w:hAnsi="Times New Roman" w:cs="Times New Roman"/>
          <w:sz w:val="24"/>
          <w:szCs w:val="24"/>
        </w:rPr>
        <w:t xml:space="preserve">Другая схема расположения </w:t>
      </w:r>
      <w:r w:rsidR="009746E0">
        <w:rPr>
          <w:rFonts w:ascii="Times New Roman" w:hAnsi="Times New Roman" w:cs="Times New Roman"/>
          <w:sz w:val="24"/>
          <w:szCs w:val="24"/>
        </w:rPr>
        <w:t>сигналов полиаденелирования</w:t>
      </w:r>
      <w:r w:rsidRPr="005F17F7">
        <w:rPr>
          <w:rFonts w:ascii="Times New Roman" w:hAnsi="Times New Roman" w:cs="Times New Roman"/>
          <w:sz w:val="24"/>
          <w:szCs w:val="24"/>
        </w:rPr>
        <w:t>, протестированная искусственно, з</w:t>
      </w:r>
      <w:r w:rsidR="009746E0">
        <w:rPr>
          <w:rFonts w:ascii="Times New Roman" w:hAnsi="Times New Roman" w:cs="Times New Roman"/>
          <w:sz w:val="24"/>
          <w:szCs w:val="24"/>
        </w:rPr>
        <w:t xml:space="preserve">аключалась в том, что за слабым сигналом </w:t>
      </w:r>
      <w:r w:rsidRPr="005F17F7">
        <w:rPr>
          <w:rFonts w:ascii="Times New Roman" w:hAnsi="Times New Roman" w:cs="Times New Roman"/>
          <w:sz w:val="24"/>
          <w:szCs w:val="24"/>
        </w:rPr>
        <w:t>следовал сильн</w:t>
      </w:r>
      <w:r w:rsidR="009746E0">
        <w:rPr>
          <w:rFonts w:ascii="Times New Roman" w:hAnsi="Times New Roman" w:cs="Times New Roman"/>
          <w:sz w:val="24"/>
          <w:szCs w:val="24"/>
        </w:rPr>
        <w:t>ый</w:t>
      </w:r>
      <w:r w:rsidRPr="005F17F7">
        <w:rPr>
          <w:rFonts w:ascii="Times New Roman" w:hAnsi="Times New Roman" w:cs="Times New Roman"/>
          <w:sz w:val="24"/>
          <w:szCs w:val="24"/>
        </w:rPr>
        <w:t xml:space="preserve">. В этой ситуации нижний </w:t>
      </w:r>
      <w:r w:rsidR="009746E0">
        <w:rPr>
          <w:rFonts w:ascii="Times New Roman" w:hAnsi="Times New Roman" w:cs="Times New Roman"/>
          <w:sz w:val="24"/>
          <w:szCs w:val="24"/>
        </w:rPr>
        <w:t>сигнал</w:t>
      </w:r>
      <w:r w:rsidRPr="005F17F7">
        <w:rPr>
          <w:rFonts w:ascii="Times New Roman" w:hAnsi="Times New Roman" w:cs="Times New Roman"/>
          <w:sz w:val="24"/>
          <w:szCs w:val="24"/>
        </w:rPr>
        <w:t xml:space="preserve"> используется избирательно. Такой тип дублирующего расположения позволил идентифицировать сайты транскрипционной паузы. Когда такие элементы помещаются между слабым и сильным </w:t>
      </w:r>
      <w:r w:rsidR="009746E0">
        <w:rPr>
          <w:rFonts w:ascii="Times New Roman" w:hAnsi="Times New Roman" w:cs="Times New Roman"/>
          <w:sz w:val="24"/>
          <w:szCs w:val="24"/>
        </w:rPr>
        <w:t>сигналом</w:t>
      </w:r>
      <w:r w:rsidRPr="005F17F7">
        <w:rPr>
          <w:rFonts w:ascii="Times New Roman" w:hAnsi="Times New Roman" w:cs="Times New Roman"/>
          <w:sz w:val="24"/>
          <w:szCs w:val="24"/>
        </w:rPr>
        <w:t>, происходит более активное использование слабого, расположенного выше. Этот анализ называется анализом конкуренции PAS. Учитывая, что эндонуклеолитическое расщепление на сайте poly(A)</w:t>
      </w:r>
      <w:r w:rsidR="009746E0">
        <w:rPr>
          <w:rFonts w:ascii="Times New Roman" w:hAnsi="Times New Roman" w:cs="Times New Roman"/>
          <w:sz w:val="24"/>
          <w:szCs w:val="24"/>
        </w:rPr>
        <w:t xml:space="preserve"> позволяет экзонуклеазе </w:t>
      </w:r>
      <w:r w:rsidRPr="005F17F7">
        <w:rPr>
          <w:rFonts w:ascii="Times New Roman" w:hAnsi="Times New Roman" w:cs="Times New Roman"/>
          <w:sz w:val="24"/>
          <w:szCs w:val="24"/>
        </w:rPr>
        <w:t xml:space="preserve">(Rat1 или Xrn2) продвигать терминацию Pol II, можно предположить, что альтернативное использование </w:t>
      </w:r>
      <w:r w:rsidR="009746E0">
        <w:rPr>
          <w:rFonts w:ascii="Times New Roman" w:hAnsi="Times New Roman" w:cs="Times New Roman"/>
          <w:sz w:val="24"/>
          <w:szCs w:val="24"/>
        </w:rPr>
        <w:t>сигналов полиаденелирования</w:t>
      </w:r>
      <w:r w:rsidRPr="005F17F7">
        <w:rPr>
          <w:rFonts w:ascii="Times New Roman" w:hAnsi="Times New Roman" w:cs="Times New Roman"/>
          <w:sz w:val="24"/>
          <w:szCs w:val="24"/>
        </w:rPr>
        <w:t xml:space="preserve"> приведет к эквивалентной альтернативной терминации Pol II</w:t>
      </w:r>
      <w:r w:rsidR="009746E0">
        <w:rPr>
          <w:rFonts w:ascii="Times New Roman" w:hAnsi="Times New Roman" w:cs="Times New Roman"/>
          <w:sz w:val="24"/>
          <w:szCs w:val="24"/>
        </w:rPr>
        <w:t xml:space="preserve"> </w:t>
      </w:r>
      <w:r w:rsidR="009746E0" w:rsidRPr="009746E0">
        <w:rPr>
          <w:rFonts w:ascii="Times New Roman" w:hAnsi="Times New Roman" w:cs="Times New Roman"/>
          <w:sz w:val="24"/>
          <w:szCs w:val="24"/>
        </w:rPr>
        <w:t>[4]</w:t>
      </w:r>
      <w:r w:rsidRPr="005F17F7">
        <w:rPr>
          <w:rFonts w:ascii="Times New Roman" w:hAnsi="Times New Roman" w:cs="Times New Roman"/>
          <w:sz w:val="24"/>
          <w:szCs w:val="24"/>
        </w:rPr>
        <w:t>.</w:t>
      </w:r>
    </w:p>
    <w:p w14:paraId="02081487" w14:textId="064D44E0" w:rsidR="009746E0" w:rsidRDefault="00C07C72" w:rsidP="005B3723">
      <w:pPr>
        <w:spacing w:line="257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Последовательности сигналов полиаденелирования могут быть взяты из различных источников, например, </w:t>
      </w:r>
      <w:r w:rsidRPr="00C07C72">
        <w:rPr>
          <w:rFonts w:ascii="Times New Roman" w:hAnsi="Times New Roman" w:cs="Times New Roman"/>
          <w:sz w:val="24"/>
          <w:szCs w:val="24"/>
        </w:rPr>
        <w:t>поли-А элементы</w:t>
      </w:r>
      <w:r>
        <w:rPr>
          <w:rFonts w:ascii="Times New Roman" w:hAnsi="Times New Roman" w:cs="Times New Roman"/>
          <w:sz w:val="24"/>
          <w:szCs w:val="24"/>
        </w:rPr>
        <w:t xml:space="preserve"> бычьего</w:t>
      </w:r>
      <w:r w:rsidRPr="00C07C72">
        <w:rPr>
          <w:rFonts w:ascii="Times New Roman" w:hAnsi="Times New Roman" w:cs="Times New Roman"/>
          <w:sz w:val="24"/>
          <w:szCs w:val="24"/>
        </w:rPr>
        <w:t xml:space="preserve"> гормон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C07C72">
        <w:rPr>
          <w:rFonts w:ascii="Times New Roman" w:hAnsi="Times New Roman" w:cs="Times New Roman"/>
          <w:sz w:val="24"/>
          <w:szCs w:val="24"/>
        </w:rPr>
        <w:t xml:space="preserve"> роста (BGH), </w:t>
      </w:r>
      <w:r>
        <w:rPr>
          <w:rFonts w:ascii="Times New Roman" w:hAnsi="Times New Roman" w:cs="Times New Roman"/>
          <w:sz w:val="24"/>
          <w:szCs w:val="24"/>
        </w:rPr>
        <w:t xml:space="preserve">его </w:t>
      </w:r>
      <w:r w:rsidRPr="00C07C72">
        <w:rPr>
          <w:rFonts w:ascii="Times New Roman" w:hAnsi="Times New Roman" w:cs="Times New Roman"/>
          <w:sz w:val="24"/>
          <w:szCs w:val="24"/>
        </w:rPr>
        <w:t>мутантн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C07C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варианта</w:t>
      </w:r>
      <w:r w:rsidRPr="00C07C72">
        <w:rPr>
          <w:rFonts w:ascii="Times New Roman" w:hAnsi="Times New Roman" w:cs="Times New Roman"/>
          <w:sz w:val="24"/>
          <w:szCs w:val="24"/>
        </w:rPr>
        <w:t>, тимидинкиназ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C07C72">
        <w:rPr>
          <w:rFonts w:ascii="Times New Roman" w:hAnsi="Times New Roman" w:cs="Times New Roman"/>
          <w:sz w:val="24"/>
          <w:szCs w:val="24"/>
        </w:rPr>
        <w:t xml:space="preserve"> вируса простого герпеса типа 1 (HSV-TK), </w:t>
      </w:r>
      <w:r>
        <w:rPr>
          <w:rFonts w:ascii="Times New Roman" w:hAnsi="Times New Roman" w:cs="Times New Roman"/>
          <w:sz w:val="24"/>
          <w:szCs w:val="24"/>
        </w:rPr>
        <w:t xml:space="preserve">вируса </w:t>
      </w:r>
      <w:r w:rsidRPr="00C07C72">
        <w:rPr>
          <w:rFonts w:ascii="Times New Roman" w:hAnsi="Times New Roman" w:cs="Times New Roman"/>
          <w:sz w:val="24"/>
          <w:szCs w:val="24"/>
        </w:rPr>
        <w:t xml:space="preserve">SV40, </w:t>
      </w:r>
      <w:r>
        <w:rPr>
          <w:rFonts w:ascii="Times New Roman" w:hAnsi="Times New Roman" w:cs="Times New Roman"/>
          <w:sz w:val="24"/>
          <w:szCs w:val="24"/>
        </w:rPr>
        <w:t xml:space="preserve">а также синтетические формы </w:t>
      </w:r>
      <w:r w:rsidRPr="00C07C72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07C72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. По результатам исследований, сигналы полиаденилирования, позаимствованные у SV40, а также синтетические формы сигнала </w:t>
      </w:r>
      <w:r w:rsidRPr="00C07C72">
        <w:rPr>
          <w:rFonts w:ascii="Times New Roman" w:hAnsi="Times New Roman" w:cs="Times New Roman"/>
          <w:sz w:val="24"/>
          <w:szCs w:val="24"/>
        </w:rPr>
        <w:t xml:space="preserve">являются более сильными элементами, которые </w:t>
      </w:r>
      <w:r>
        <w:rPr>
          <w:rFonts w:ascii="Times New Roman" w:hAnsi="Times New Roman" w:cs="Times New Roman"/>
          <w:sz w:val="24"/>
          <w:szCs w:val="24"/>
        </w:rPr>
        <w:t>обеспечивают</w:t>
      </w:r>
      <w:r w:rsidRPr="00C07C72">
        <w:rPr>
          <w:rFonts w:ascii="Times New Roman" w:hAnsi="Times New Roman" w:cs="Times New Roman"/>
          <w:sz w:val="24"/>
          <w:szCs w:val="24"/>
        </w:rPr>
        <w:t xml:space="preserve"> стабильную экспрессию трансгена </w:t>
      </w:r>
      <w:r>
        <w:rPr>
          <w:rFonts w:ascii="Times New Roman" w:hAnsi="Times New Roman" w:cs="Times New Roman"/>
          <w:sz w:val="24"/>
          <w:szCs w:val="24"/>
        </w:rPr>
        <w:t xml:space="preserve">и уменьшают вариации экспрессии </w:t>
      </w:r>
      <w:r w:rsidRPr="00C07C72">
        <w:rPr>
          <w:rFonts w:ascii="Times New Roman" w:hAnsi="Times New Roman" w:cs="Times New Roman"/>
          <w:sz w:val="24"/>
          <w:szCs w:val="24"/>
        </w:rPr>
        <w:t>[5].</w:t>
      </w:r>
    </w:p>
    <w:p w14:paraId="5D580510" w14:textId="3AEDB798" w:rsidR="00C07C72" w:rsidRPr="00C07C72" w:rsidRDefault="00C07C72" w:rsidP="005B3723">
      <w:pPr>
        <w:spacing w:line="257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Являются ли сигналы полиаденилирования необходимыми? </w:t>
      </w:r>
      <w:r w:rsidR="00E448B3">
        <w:rPr>
          <w:rFonts w:ascii="Times New Roman" w:hAnsi="Times New Roman" w:cs="Times New Roman"/>
          <w:sz w:val="24"/>
          <w:szCs w:val="24"/>
        </w:rPr>
        <w:t>Можно ли их заменить на другие элементы</w:t>
      </w:r>
      <w:r w:rsidR="00677492" w:rsidRPr="00677492">
        <w:rPr>
          <w:rFonts w:ascii="Times New Roman" w:hAnsi="Times New Roman" w:cs="Times New Roman"/>
          <w:sz w:val="24"/>
          <w:szCs w:val="24"/>
        </w:rPr>
        <w:t>?</w:t>
      </w:r>
      <w:r w:rsidR="00E448B3">
        <w:rPr>
          <w:rFonts w:ascii="Times New Roman" w:hAnsi="Times New Roman" w:cs="Times New Roman"/>
          <w:sz w:val="24"/>
          <w:szCs w:val="24"/>
        </w:rPr>
        <w:t xml:space="preserve"> Например</w:t>
      </w:r>
      <w:r>
        <w:rPr>
          <w:rFonts w:ascii="Times New Roman" w:hAnsi="Times New Roman" w:cs="Times New Roman"/>
          <w:sz w:val="24"/>
          <w:szCs w:val="24"/>
        </w:rPr>
        <w:t xml:space="preserve">, в случае использования лентивирусных векторов, содержащих </w:t>
      </w:r>
      <w:r>
        <w:rPr>
          <w:rFonts w:ascii="Times New Roman" w:hAnsi="Times New Roman" w:cs="Times New Roman"/>
          <w:sz w:val="24"/>
          <w:szCs w:val="24"/>
          <w:lang w:val="en-US"/>
        </w:rPr>
        <w:t>LTR</w:t>
      </w:r>
      <w:r w:rsidRPr="00C07C72">
        <w:rPr>
          <w:rFonts w:ascii="Times New Roman" w:hAnsi="Times New Roman" w:cs="Times New Roman"/>
          <w:sz w:val="24"/>
          <w:szCs w:val="24"/>
        </w:rPr>
        <w:t>.</w:t>
      </w:r>
    </w:p>
    <w:p w14:paraId="3278B85E" w14:textId="77777777" w:rsidR="00E448B3" w:rsidRDefault="00E448B3" w:rsidP="00E448B3">
      <w:pPr>
        <w:pStyle w:val="ListParagraph"/>
        <w:numPr>
          <w:ilvl w:val="0"/>
          <w:numId w:val="9"/>
        </w:numPr>
        <w:spacing w:line="257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448B3">
        <w:rPr>
          <w:rFonts w:ascii="Times New Roman" w:hAnsi="Times New Roman" w:cs="Times New Roman"/>
          <w:sz w:val="24"/>
          <w:szCs w:val="24"/>
        </w:rPr>
        <w:t xml:space="preserve">Те же </w:t>
      </w:r>
      <w:r w:rsidR="00C07C72" w:rsidRPr="00E448B3">
        <w:rPr>
          <w:rFonts w:ascii="Times New Roman" w:hAnsi="Times New Roman" w:cs="Times New Roman"/>
          <w:sz w:val="24"/>
          <w:szCs w:val="24"/>
        </w:rPr>
        <w:t>LTR не являются функционально эквивалентными сигналам</w:t>
      </w:r>
      <w:r w:rsidRPr="00E448B3">
        <w:rPr>
          <w:rFonts w:ascii="Times New Roman" w:hAnsi="Times New Roman" w:cs="Times New Roman"/>
          <w:sz w:val="24"/>
          <w:szCs w:val="24"/>
        </w:rPr>
        <w:t xml:space="preserve"> полиаденилирования</w:t>
      </w:r>
      <w:r w:rsidR="00C07C72" w:rsidRPr="00E448B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59AFC3" w14:textId="77777777" w:rsidR="00E448B3" w:rsidRDefault="00E448B3" w:rsidP="00E448B3">
      <w:pPr>
        <w:pStyle w:val="ListParagraph"/>
        <w:numPr>
          <w:ilvl w:val="0"/>
          <w:numId w:val="9"/>
        </w:numPr>
        <w:spacing w:line="257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Есть ситуации, в которых полиаденелирование не неоьходимо, напрмиер, в случае м</w:t>
      </w:r>
      <w:r w:rsidR="00C07C72" w:rsidRPr="00E448B3">
        <w:rPr>
          <w:rFonts w:ascii="Times New Roman" w:hAnsi="Times New Roman" w:cs="Times New Roman"/>
          <w:sz w:val="24"/>
          <w:szCs w:val="24"/>
        </w:rPr>
        <w:t>алы</w:t>
      </w:r>
      <w:r>
        <w:rPr>
          <w:rFonts w:ascii="Times New Roman" w:hAnsi="Times New Roman" w:cs="Times New Roman"/>
          <w:sz w:val="24"/>
          <w:szCs w:val="24"/>
        </w:rPr>
        <w:t>х</w:t>
      </w:r>
      <w:r w:rsidR="00C07C72" w:rsidRPr="00E448B3">
        <w:rPr>
          <w:rFonts w:ascii="Times New Roman" w:hAnsi="Times New Roman" w:cs="Times New Roman"/>
          <w:sz w:val="24"/>
          <w:szCs w:val="24"/>
        </w:rPr>
        <w:t xml:space="preserve"> регуляторны</w:t>
      </w:r>
      <w:r>
        <w:rPr>
          <w:rFonts w:ascii="Times New Roman" w:hAnsi="Times New Roman" w:cs="Times New Roman"/>
          <w:sz w:val="24"/>
          <w:szCs w:val="24"/>
        </w:rPr>
        <w:t>х</w:t>
      </w:r>
      <w:r w:rsidR="00C07C72" w:rsidRPr="00E448B3">
        <w:rPr>
          <w:rFonts w:ascii="Times New Roman" w:hAnsi="Times New Roman" w:cs="Times New Roman"/>
          <w:sz w:val="24"/>
          <w:szCs w:val="24"/>
        </w:rPr>
        <w:t xml:space="preserve"> РНК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5B0E24" w14:textId="77777777" w:rsidR="00E448B3" w:rsidRDefault="00C07C72" w:rsidP="00E448B3">
      <w:pPr>
        <w:pStyle w:val="ListParagraph"/>
        <w:numPr>
          <w:ilvl w:val="0"/>
          <w:numId w:val="9"/>
        </w:numPr>
        <w:spacing w:line="257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448B3">
        <w:rPr>
          <w:rFonts w:ascii="Times New Roman" w:hAnsi="Times New Roman" w:cs="Times New Roman"/>
          <w:sz w:val="24"/>
          <w:szCs w:val="24"/>
        </w:rPr>
        <w:t xml:space="preserve"> </w:t>
      </w:r>
      <w:r w:rsidR="00E448B3" w:rsidRPr="00E448B3">
        <w:rPr>
          <w:rFonts w:ascii="Times New Roman" w:hAnsi="Times New Roman" w:cs="Times New Roman"/>
          <w:sz w:val="24"/>
          <w:szCs w:val="24"/>
        </w:rPr>
        <w:t>Н</w:t>
      </w:r>
      <w:r w:rsidRPr="00E448B3">
        <w:rPr>
          <w:rFonts w:ascii="Times New Roman" w:hAnsi="Times New Roman" w:cs="Times New Roman"/>
          <w:sz w:val="24"/>
          <w:szCs w:val="24"/>
        </w:rPr>
        <w:t xml:space="preserve">е все транскрипты, </w:t>
      </w:r>
      <w:r w:rsidR="00E448B3" w:rsidRPr="00E448B3">
        <w:rPr>
          <w:rFonts w:ascii="Times New Roman" w:hAnsi="Times New Roman" w:cs="Times New Roman"/>
          <w:sz w:val="24"/>
          <w:szCs w:val="24"/>
        </w:rPr>
        <w:t xml:space="preserve">синтезированные </w:t>
      </w:r>
      <w:r w:rsidRPr="00E448B3">
        <w:rPr>
          <w:rFonts w:ascii="Times New Roman" w:hAnsi="Times New Roman" w:cs="Times New Roman"/>
          <w:sz w:val="24"/>
          <w:szCs w:val="24"/>
        </w:rPr>
        <w:t>РНК Pol II, подвергаются полиаденилированию.</w:t>
      </w:r>
    </w:p>
    <w:p w14:paraId="57AAA277" w14:textId="77777777" w:rsidR="00E448B3" w:rsidRDefault="00E448B3" w:rsidP="00E448B3">
      <w:pPr>
        <w:pStyle w:val="ListParagraph"/>
        <w:numPr>
          <w:ilvl w:val="0"/>
          <w:numId w:val="9"/>
        </w:numPr>
        <w:spacing w:line="257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448B3">
        <w:rPr>
          <w:rFonts w:ascii="Times New Roman" w:hAnsi="Times New Roman" w:cs="Times New Roman"/>
          <w:sz w:val="24"/>
          <w:szCs w:val="24"/>
        </w:rPr>
        <w:lastRenderedPageBreak/>
        <w:t xml:space="preserve">В случае </w:t>
      </w:r>
      <w:r w:rsidR="00C07C72" w:rsidRPr="00E448B3">
        <w:rPr>
          <w:rFonts w:ascii="Times New Roman" w:hAnsi="Times New Roman" w:cs="Times New Roman"/>
          <w:sz w:val="24"/>
          <w:szCs w:val="24"/>
        </w:rPr>
        <w:t>доставки трансгенов, теоретическое преимущество включения сигнала поли</w:t>
      </w:r>
      <w:r w:rsidRPr="00E448B3">
        <w:rPr>
          <w:rFonts w:ascii="Times New Roman" w:hAnsi="Times New Roman" w:cs="Times New Roman"/>
          <w:sz w:val="24"/>
          <w:szCs w:val="24"/>
        </w:rPr>
        <w:t>аденилирования</w:t>
      </w:r>
      <w:r w:rsidR="00C07C72" w:rsidRPr="00E448B3">
        <w:rPr>
          <w:rFonts w:ascii="Times New Roman" w:hAnsi="Times New Roman" w:cs="Times New Roman"/>
          <w:sz w:val="24"/>
          <w:szCs w:val="24"/>
        </w:rPr>
        <w:t xml:space="preserve"> заключается в том, что он может улучшить стабильность мРНК и повысить эффективность трансляции. </w:t>
      </w:r>
    </w:p>
    <w:p w14:paraId="4C687189" w14:textId="77777777" w:rsidR="00E448B3" w:rsidRDefault="00C07C72" w:rsidP="00E448B3">
      <w:pPr>
        <w:pStyle w:val="ListParagraph"/>
        <w:numPr>
          <w:ilvl w:val="0"/>
          <w:numId w:val="9"/>
        </w:numPr>
        <w:spacing w:line="257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448B3">
        <w:rPr>
          <w:rFonts w:ascii="Times New Roman" w:hAnsi="Times New Roman" w:cs="Times New Roman"/>
          <w:sz w:val="24"/>
          <w:szCs w:val="24"/>
        </w:rPr>
        <w:t>В лентивирусах GFP, управляемый CMV, не нуждается в сигнале polyA, хотя эффективный экспорт мРНК из ядра может быть усилен путем включения элемента WPRE из вируса гепатита Вудчака или элемента CTE из вируса обезьян Мейсона-Пфайзера. Многие лентивирусные конструкции включают элемент WPRE или CTE в 3' от сайта множественного клонирования (и выше по течению от 3' LTR).</w:t>
      </w:r>
    </w:p>
    <w:p w14:paraId="07BF3F46" w14:textId="0CB1FA53" w:rsidR="00677492" w:rsidRDefault="00C07C72" w:rsidP="00677492">
      <w:pPr>
        <w:pStyle w:val="ListParagraph"/>
        <w:numPr>
          <w:ilvl w:val="0"/>
          <w:numId w:val="9"/>
        </w:numPr>
        <w:spacing w:line="257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448B3">
        <w:rPr>
          <w:rFonts w:ascii="Times New Roman" w:hAnsi="Times New Roman" w:cs="Times New Roman"/>
          <w:sz w:val="24"/>
          <w:szCs w:val="24"/>
        </w:rPr>
        <w:t>Некоторые полиА-последовательности переносятся лентивирусами, если их ра</w:t>
      </w:r>
      <w:r w:rsidR="00E448B3" w:rsidRPr="00E448B3">
        <w:rPr>
          <w:rFonts w:ascii="Times New Roman" w:hAnsi="Times New Roman" w:cs="Times New Roman"/>
          <w:sz w:val="24"/>
          <w:szCs w:val="24"/>
        </w:rPr>
        <w:t>сположить в обратной ориентации</w:t>
      </w:r>
      <w:r w:rsidRPr="00E448B3">
        <w:rPr>
          <w:rFonts w:ascii="Times New Roman" w:hAnsi="Times New Roman" w:cs="Times New Roman"/>
          <w:sz w:val="24"/>
          <w:szCs w:val="24"/>
        </w:rPr>
        <w:t xml:space="preserve">. Однако это невозможно сделать с транскрипцией, управляемой CMV, так как в этом случае возникнет транскрипционная интерференция между CMV и 5' LTR, которая </w:t>
      </w:r>
      <w:r w:rsidR="00E448B3" w:rsidRPr="00E448B3">
        <w:rPr>
          <w:rFonts w:ascii="Times New Roman" w:hAnsi="Times New Roman" w:cs="Times New Roman"/>
          <w:sz w:val="24"/>
          <w:szCs w:val="24"/>
        </w:rPr>
        <w:t>нарушит</w:t>
      </w:r>
      <w:r w:rsidRPr="00E448B3">
        <w:rPr>
          <w:rFonts w:ascii="Times New Roman" w:hAnsi="Times New Roman" w:cs="Times New Roman"/>
          <w:sz w:val="24"/>
          <w:szCs w:val="24"/>
        </w:rPr>
        <w:t xml:space="preserve"> транскрипцию на этапе производства. </w:t>
      </w:r>
    </w:p>
    <w:p w14:paraId="14C71FCA" w14:textId="78DED30B" w:rsidR="00C07C72" w:rsidRDefault="00E448B3" w:rsidP="005B3723">
      <w:pPr>
        <w:spacing w:line="257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48B3">
        <w:rPr>
          <w:rFonts w:ascii="Times New Roman" w:hAnsi="Times New Roman" w:cs="Times New Roman"/>
          <w:b/>
          <w:sz w:val="24"/>
          <w:szCs w:val="24"/>
        </w:rPr>
        <w:t xml:space="preserve">Элемент </w:t>
      </w:r>
      <w:r w:rsidRPr="00E448B3">
        <w:rPr>
          <w:rFonts w:ascii="Times New Roman" w:hAnsi="Times New Roman" w:cs="Times New Roman"/>
          <w:b/>
          <w:sz w:val="24"/>
          <w:szCs w:val="24"/>
          <w:lang w:val="en-US"/>
        </w:rPr>
        <w:t>WPRE</w:t>
      </w:r>
      <w:r w:rsidRPr="00E448B3">
        <w:rPr>
          <w:rFonts w:ascii="Times New Roman" w:hAnsi="Times New Roman" w:cs="Times New Roman"/>
          <w:b/>
          <w:sz w:val="24"/>
          <w:szCs w:val="24"/>
        </w:rPr>
        <w:t>:</w:t>
      </w:r>
      <w:r w:rsidRPr="00E448B3">
        <w:rPr>
          <w:rFonts w:ascii="Times New Roman" w:hAnsi="Times New Roman" w:cs="Times New Roman"/>
          <w:sz w:val="24"/>
          <w:szCs w:val="24"/>
        </w:rPr>
        <w:t xml:space="preserve"> </w:t>
      </w:r>
      <w:r w:rsidRPr="00E448B3">
        <w:rPr>
          <w:rFonts w:ascii="Times New Roman" w:hAnsi="Times New Roman" w:cs="Times New Roman"/>
          <w:sz w:val="24"/>
          <w:szCs w:val="24"/>
          <w:lang w:val="en-US"/>
        </w:rPr>
        <w:t>Woodchuck</w:t>
      </w:r>
      <w:r w:rsidRPr="00E448B3">
        <w:rPr>
          <w:rFonts w:ascii="Times New Roman" w:hAnsi="Times New Roman" w:cs="Times New Roman"/>
          <w:sz w:val="24"/>
          <w:szCs w:val="24"/>
        </w:rPr>
        <w:t xml:space="preserve"> </w:t>
      </w:r>
      <w:r w:rsidRPr="00E448B3">
        <w:rPr>
          <w:rFonts w:ascii="Times New Roman" w:hAnsi="Times New Roman" w:cs="Times New Roman"/>
          <w:sz w:val="24"/>
          <w:szCs w:val="24"/>
          <w:lang w:val="en-US"/>
        </w:rPr>
        <w:t>Hepatitis</w:t>
      </w:r>
      <w:r w:rsidRPr="00E448B3">
        <w:rPr>
          <w:rFonts w:ascii="Times New Roman" w:hAnsi="Times New Roman" w:cs="Times New Roman"/>
          <w:sz w:val="24"/>
          <w:szCs w:val="24"/>
        </w:rPr>
        <w:t xml:space="preserve"> </w:t>
      </w:r>
      <w:r w:rsidRPr="00E448B3">
        <w:rPr>
          <w:rFonts w:ascii="Times New Roman" w:hAnsi="Times New Roman" w:cs="Times New Roman"/>
          <w:sz w:val="24"/>
          <w:szCs w:val="24"/>
          <w:lang w:val="en-US"/>
        </w:rPr>
        <w:t>Virus</w:t>
      </w:r>
      <w:r w:rsidRPr="00E448B3">
        <w:rPr>
          <w:rFonts w:ascii="Times New Roman" w:hAnsi="Times New Roman" w:cs="Times New Roman"/>
          <w:sz w:val="24"/>
          <w:szCs w:val="24"/>
        </w:rPr>
        <w:t xml:space="preserve"> (</w:t>
      </w:r>
      <w:r w:rsidRPr="00E448B3">
        <w:rPr>
          <w:rFonts w:ascii="Times New Roman" w:hAnsi="Times New Roman" w:cs="Times New Roman"/>
          <w:sz w:val="24"/>
          <w:szCs w:val="24"/>
          <w:lang w:val="en-US"/>
        </w:rPr>
        <w:t>WHV</w:t>
      </w:r>
      <w:r w:rsidRPr="00E448B3">
        <w:rPr>
          <w:rFonts w:ascii="Times New Roman" w:hAnsi="Times New Roman" w:cs="Times New Roman"/>
          <w:sz w:val="24"/>
          <w:szCs w:val="24"/>
        </w:rPr>
        <w:t>) - последовательность ДНК, которая при транскрипции создает третичную структуру, усиливающую экспрессию. Эта последовательность широко используется для усиления экспрессии генов, доставляемых вирусными векторами.</w:t>
      </w:r>
    </w:p>
    <w:p w14:paraId="1753573E" w14:textId="29825337" w:rsidR="00E448B3" w:rsidRPr="00E448B3" w:rsidRDefault="00E448B3" w:rsidP="005B3723">
      <w:pPr>
        <w:spacing w:line="257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7492">
        <w:rPr>
          <w:rFonts w:ascii="Times New Roman" w:hAnsi="Times New Roman" w:cs="Times New Roman"/>
          <w:b/>
          <w:sz w:val="24"/>
          <w:szCs w:val="24"/>
        </w:rPr>
        <w:t xml:space="preserve">Элемент </w:t>
      </w:r>
      <w:r w:rsidRPr="00677492">
        <w:rPr>
          <w:rFonts w:ascii="Times New Roman" w:hAnsi="Times New Roman" w:cs="Times New Roman"/>
          <w:b/>
          <w:sz w:val="24"/>
          <w:szCs w:val="24"/>
          <w:lang w:val="en-US"/>
        </w:rPr>
        <w:t>CTE</w:t>
      </w:r>
      <w:r w:rsidRPr="0067749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48B3">
        <w:rPr>
          <w:rFonts w:ascii="Times New Roman" w:hAnsi="Times New Roman" w:cs="Times New Roman"/>
          <w:sz w:val="24"/>
          <w:szCs w:val="24"/>
        </w:rPr>
        <w:t>Конститутивны</w:t>
      </w:r>
      <w:r w:rsidR="00677492">
        <w:rPr>
          <w:rFonts w:ascii="Times New Roman" w:hAnsi="Times New Roman" w:cs="Times New Roman"/>
          <w:sz w:val="24"/>
          <w:szCs w:val="24"/>
        </w:rPr>
        <w:t>й</w:t>
      </w:r>
      <w:r w:rsidRPr="00E448B3">
        <w:rPr>
          <w:rFonts w:ascii="Times New Roman" w:hAnsi="Times New Roman" w:cs="Times New Roman"/>
          <w:sz w:val="24"/>
          <w:szCs w:val="24"/>
        </w:rPr>
        <w:t xml:space="preserve"> транспортны</w:t>
      </w:r>
      <w:r w:rsidR="00677492">
        <w:rPr>
          <w:rFonts w:ascii="Times New Roman" w:hAnsi="Times New Roman" w:cs="Times New Roman"/>
          <w:sz w:val="24"/>
          <w:szCs w:val="24"/>
        </w:rPr>
        <w:t>й</w:t>
      </w:r>
      <w:r w:rsidRPr="00E448B3">
        <w:rPr>
          <w:rFonts w:ascii="Times New Roman" w:hAnsi="Times New Roman" w:cs="Times New Roman"/>
          <w:sz w:val="24"/>
          <w:szCs w:val="24"/>
        </w:rPr>
        <w:t xml:space="preserve"> элемент (CTE) ретровирусов типа D явля</w:t>
      </w:r>
      <w:r w:rsidR="00677492">
        <w:rPr>
          <w:rFonts w:ascii="Times New Roman" w:hAnsi="Times New Roman" w:cs="Times New Roman"/>
          <w:sz w:val="24"/>
          <w:szCs w:val="24"/>
        </w:rPr>
        <w:t xml:space="preserve">ется </w:t>
      </w:r>
      <w:r w:rsidRPr="00E448B3">
        <w:rPr>
          <w:rFonts w:ascii="Times New Roman" w:hAnsi="Times New Roman" w:cs="Times New Roman"/>
          <w:sz w:val="24"/>
          <w:szCs w:val="24"/>
        </w:rPr>
        <w:t>действующими элемент</w:t>
      </w:r>
      <w:r w:rsidR="00677492">
        <w:rPr>
          <w:rFonts w:ascii="Times New Roman" w:hAnsi="Times New Roman" w:cs="Times New Roman"/>
          <w:sz w:val="24"/>
          <w:szCs w:val="24"/>
        </w:rPr>
        <w:t>ом</w:t>
      </w:r>
      <w:r w:rsidRPr="00E448B3">
        <w:rPr>
          <w:rFonts w:ascii="Times New Roman" w:hAnsi="Times New Roman" w:cs="Times New Roman"/>
          <w:sz w:val="24"/>
          <w:szCs w:val="24"/>
        </w:rPr>
        <w:t>, которы</w:t>
      </w:r>
      <w:r w:rsidR="00677492">
        <w:rPr>
          <w:rFonts w:ascii="Times New Roman" w:hAnsi="Times New Roman" w:cs="Times New Roman"/>
          <w:sz w:val="24"/>
          <w:szCs w:val="24"/>
        </w:rPr>
        <w:t>й</w:t>
      </w:r>
      <w:r w:rsidRPr="00E448B3">
        <w:rPr>
          <w:rFonts w:ascii="Times New Roman" w:hAnsi="Times New Roman" w:cs="Times New Roman"/>
          <w:sz w:val="24"/>
          <w:szCs w:val="24"/>
        </w:rPr>
        <w:t xml:space="preserve"> способствуют ядерному экспорту неполностью сплайсированных мРНК.</w:t>
      </w:r>
    </w:p>
    <w:p w14:paraId="64AAAE88" w14:textId="1E46C396" w:rsidR="0059089B" w:rsidRDefault="0059089B" w:rsidP="00117AB6">
      <w:pPr>
        <w:rPr>
          <w:rFonts w:ascii="Times New Roman" w:hAnsi="Times New Roman" w:cs="Times New Roman"/>
          <w:b/>
          <w:sz w:val="24"/>
          <w:szCs w:val="24"/>
        </w:rPr>
      </w:pPr>
      <w:r w:rsidRPr="0059089B">
        <w:rPr>
          <w:rFonts w:ascii="Times New Roman" w:hAnsi="Times New Roman" w:cs="Times New Roman"/>
          <w:b/>
          <w:sz w:val="24"/>
          <w:szCs w:val="24"/>
        </w:rPr>
        <w:t>Источники:</w:t>
      </w:r>
    </w:p>
    <w:p w14:paraId="7E9D35D7" w14:textId="654618D2" w:rsidR="0059089B" w:rsidRPr="0059089B" w:rsidRDefault="0059089B" w:rsidP="009746E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089B">
        <w:rPr>
          <w:rFonts w:ascii="Times New Roman" w:hAnsi="Times New Roman" w:cs="Times New Roman"/>
          <w:sz w:val="24"/>
          <w:szCs w:val="24"/>
          <w:lang w:val="en-US"/>
        </w:rPr>
        <w:t>Taylor-Parker, Julian. “Plasmids 101: Terminators and PolyA Signals.”Blog.addgene.org, blog.addgene.org/plasmids-101-terminators-and-polya-signals#:~:text=The%20purpose%20and%20mechanism%20of,promote%20transcript%20degradation%20in%20prokaryotes. Accessed 9 May 2023.</w:t>
      </w:r>
    </w:p>
    <w:p w14:paraId="46574D8C" w14:textId="627627EA" w:rsidR="0059089B" w:rsidRDefault="006018EF" w:rsidP="009746E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18EF">
        <w:rPr>
          <w:rFonts w:ascii="Times New Roman" w:hAnsi="Times New Roman" w:cs="Times New Roman"/>
          <w:sz w:val="24"/>
          <w:szCs w:val="24"/>
        </w:rPr>
        <w:t>Каноническое и неканоническое полиаденилирование РНК / И. Г. Устьянцев, Ю. С. Голубчикова, О. Р. Бородулина, Д. А. Крамеров. — Текст : непосредственный // Молекулярная биология. — 2017. — № 2. — С. 262-273.</w:t>
      </w:r>
    </w:p>
    <w:p w14:paraId="69E61552" w14:textId="40E69BD4" w:rsidR="006018EF" w:rsidRDefault="008A3D99" w:rsidP="009746E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3D99">
        <w:rPr>
          <w:rFonts w:ascii="Times New Roman" w:hAnsi="Times New Roman" w:cs="Times New Roman"/>
          <w:sz w:val="24"/>
          <w:szCs w:val="24"/>
          <w:lang w:val="en-US"/>
        </w:rPr>
        <w:t xml:space="preserve">Tran DP, Kim SJ, Park NJ, Jew TM, Martinson HG. Mechanism of poly(A) signal transduction to RNA polymerase II in vitro. </w:t>
      </w:r>
      <w:r w:rsidRPr="008A3D99">
        <w:rPr>
          <w:rFonts w:ascii="Times New Roman" w:hAnsi="Times New Roman" w:cs="Times New Roman"/>
          <w:sz w:val="24"/>
          <w:szCs w:val="24"/>
        </w:rPr>
        <w:t>Mol Cell Biol. 2001 Nov;21(21):7495-508. doi: 10.1128/MCB.21.21.7495-7508.2001. PMID: 11585929; PMCID: PMC99921.</w:t>
      </w:r>
    </w:p>
    <w:p w14:paraId="69F4EBAE" w14:textId="2B7CFF22" w:rsidR="008A3D99" w:rsidRDefault="005B3723" w:rsidP="009746E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3723">
        <w:rPr>
          <w:rFonts w:ascii="Times New Roman" w:hAnsi="Times New Roman" w:cs="Times New Roman"/>
          <w:sz w:val="24"/>
          <w:szCs w:val="24"/>
          <w:lang w:val="en-US"/>
        </w:rPr>
        <w:t xml:space="preserve">Proudfoot NJ. Ending the message: poly(A) signals then and now. Genes Dev. 2011 Sep 1;25(17):1770-82. doi: 10.1101/gad.17268411. </w:t>
      </w:r>
      <w:r w:rsidRPr="005B3723">
        <w:rPr>
          <w:rFonts w:ascii="Times New Roman" w:hAnsi="Times New Roman" w:cs="Times New Roman"/>
          <w:sz w:val="24"/>
          <w:szCs w:val="24"/>
        </w:rPr>
        <w:t>PMID: 21896654; PMCID: PMC3175714.</w:t>
      </w:r>
    </w:p>
    <w:p w14:paraId="5475AAC4" w14:textId="52977D7E" w:rsidR="009746E0" w:rsidRDefault="009746E0" w:rsidP="009746E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46E0">
        <w:rPr>
          <w:rFonts w:ascii="Times New Roman" w:hAnsi="Times New Roman" w:cs="Times New Roman"/>
          <w:sz w:val="24"/>
          <w:szCs w:val="24"/>
        </w:rPr>
        <w:t xml:space="preserve">Wang XY, Du QJ, Zhang WL, Xu DH, Zhang X, Jia YL, Wang TY. </w:t>
      </w:r>
      <w:r w:rsidRPr="009746E0">
        <w:rPr>
          <w:rFonts w:ascii="Times New Roman" w:hAnsi="Times New Roman" w:cs="Times New Roman"/>
          <w:sz w:val="24"/>
          <w:szCs w:val="24"/>
          <w:lang w:val="en-US"/>
        </w:rPr>
        <w:t xml:space="preserve">Enhanced Transgene Expression by Optimization of Poly A in Transfected CHO Cells. </w:t>
      </w:r>
      <w:r w:rsidRPr="009746E0">
        <w:rPr>
          <w:rFonts w:ascii="Times New Roman" w:hAnsi="Times New Roman" w:cs="Times New Roman"/>
          <w:sz w:val="24"/>
          <w:szCs w:val="24"/>
        </w:rPr>
        <w:t>Front Bioeng Biotechnol. 2022 Jan 24;10:722722. doi: 10.3389/fbioe.2022.722722. PMID: 35141210; PMCID: PMC8819543.</w:t>
      </w:r>
    </w:p>
    <w:p w14:paraId="4E9C546F" w14:textId="2B401B43" w:rsidR="00C07C72" w:rsidRDefault="00C07C72" w:rsidP="00C07C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7C72">
        <w:rPr>
          <w:rFonts w:ascii="Times New Roman" w:hAnsi="Times New Roman" w:cs="Times New Roman"/>
          <w:sz w:val="24"/>
          <w:szCs w:val="24"/>
          <w:lang w:val="en-US"/>
        </w:rPr>
        <w:t xml:space="preserve">Cohen, Daniel. (2014). Re: Are polyA's strictly necessary?. Retrieved from: </w:t>
      </w:r>
      <w:hyperlink r:id="rId11" w:history="1">
        <w:r w:rsidRPr="00D54E5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https://www.researchgate.net/post/Are-polyAs-strictly-necessary/52f154b1d2fd64304c8b45c9/citation/download</w:t>
        </w:r>
      </w:hyperlink>
      <w:r w:rsidRPr="00C07C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A91816" w14:textId="0E265647" w:rsidR="00677492" w:rsidRDefault="00677492" w:rsidP="0067749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7492">
        <w:rPr>
          <w:rFonts w:ascii="Times New Roman" w:hAnsi="Times New Roman" w:cs="Times New Roman"/>
          <w:sz w:val="24"/>
          <w:szCs w:val="24"/>
          <w:lang w:val="en-US"/>
        </w:rPr>
        <w:t>Pasquinelli AE, Ernst RK, Lund E, Grimm C, Zapp ML, Rekosh D, Hammarskjöld ML, Dahlberg JE. The constitutive transport element (CTE) of Mason-Pfizer monkey virus (MPMV) accesses a cellular mRNA export pathway. EMBO J. 1997 Dec 15;16(24):7500-10. doi: 10.1093/emboj/16.24.7500. PMID: 9405378; PMCID: PMC1170349.</w:t>
      </w:r>
    </w:p>
    <w:p w14:paraId="6FC8A740" w14:textId="3AFAEACE" w:rsidR="00677492" w:rsidRDefault="00677492" w:rsidP="0067749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7492">
        <w:rPr>
          <w:rFonts w:ascii="Times New Roman" w:hAnsi="Times New Roman" w:cs="Times New Roman"/>
          <w:sz w:val="24"/>
          <w:szCs w:val="24"/>
          <w:lang w:val="en-US"/>
        </w:rPr>
        <w:t>Donello JE, Loeb JE, Hope TJ. Woodchuck hepatitis virus contains a tripartite posttranscriptional regulatory element. J Virol. 1998 Jun;72(6):5085-92. doi: 10.1128/JVI.72.6.5085-5092.1998. PMID: 9573279; PMCID: PMC110072.</w:t>
      </w:r>
    </w:p>
    <w:p w14:paraId="5C4548E7" w14:textId="1DAF4301" w:rsidR="0046784B" w:rsidRDefault="0046784B" w:rsidP="004678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 xml:space="preserve">Найти последовательность вектора </w:t>
      </w:r>
      <w:r>
        <w:rPr>
          <w:rFonts w:ascii="Times New Roman" w:hAnsi="Times New Roman" w:cs="Times New Roman"/>
          <w:sz w:val="24"/>
          <w:szCs w:val="24"/>
          <w:lang w:val="en-US"/>
        </w:rPr>
        <w:t>pcDNA</w:t>
      </w:r>
      <w:r>
        <w:rPr>
          <w:rFonts w:ascii="Times New Roman" w:hAnsi="Times New Roman" w:cs="Times New Roman"/>
          <w:sz w:val="24"/>
          <w:szCs w:val="24"/>
        </w:rPr>
        <w:t>3.1 и нуклеотидн</w:t>
      </w:r>
      <w:r w:rsidR="00B623AC">
        <w:rPr>
          <w:rFonts w:ascii="Times New Roman" w:hAnsi="Times New Roman" w:cs="Times New Roman"/>
          <w:sz w:val="24"/>
          <w:szCs w:val="24"/>
        </w:rPr>
        <w:t>ую</w:t>
      </w:r>
      <w:r>
        <w:rPr>
          <w:rFonts w:ascii="Times New Roman" w:hAnsi="Times New Roman" w:cs="Times New Roman"/>
          <w:sz w:val="24"/>
          <w:szCs w:val="24"/>
        </w:rPr>
        <w:t xml:space="preserve"> последовательность гена </w:t>
      </w:r>
      <w:r>
        <w:rPr>
          <w:rFonts w:ascii="Times New Roman" w:hAnsi="Times New Roman" w:cs="Times New Roman"/>
          <w:sz w:val="24"/>
          <w:szCs w:val="24"/>
          <w:lang w:val="en-US"/>
        </w:rPr>
        <w:t>EYFP</w:t>
      </w:r>
      <w:r>
        <w:rPr>
          <w:rFonts w:ascii="Times New Roman" w:hAnsi="Times New Roman" w:cs="Times New Roman"/>
          <w:sz w:val="24"/>
          <w:szCs w:val="24"/>
        </w:rPr>
        <w:t xml:space="preserve"> в доступных базах данных. Прикрепите ссылки на данные последовательности. </w:t>
      </w:r>
      <w:r w:rsidR="00B623AC">
        <w:rPr>
          <w:rFonts w:ascii="Times New Roman" w:hAnsi="Times New Roman" w:cs="Times New Roman"/>
          <w:sz w:val="24"/>
          <w:szCs w:val="24"/>
        </w:rPr>
        <w:t>Постарайтесь</w:t>
      </w:r>
      <w:r>
        <w:rPr>
          <w:rFonts w:ascii="Times New Roman" w:hAnsi="Times New Roman" w:cs="Times New Roman"/>
          <w:sz w:val="24"/>
          <w:szCs w:val="24"/>
        </w:rPr>
        <w:t xml:space="preserve"> создать дизайн генетической конструкции </w:t>
      </w:r>
      <w:r>
        <w:rPr>
          <w:rFonts w:ascii="Times New Roman" w:hAnsi="Times New Roman" w:cs="Times New Roman"/>
          <w:sz w:val="24"/>
          <w:szCs w:val="24"/>
          <w:lang w:val="en-US"/>
        </w:rPr>
        <w:t>pcDNA</w:t>
      </w:r>
      <w:r>
        <w:rPr>
          <w:rFonts w:ascii="Times New Roman" w:hAnsi="Times New Roman" w:cs="Times New Roman"/>
          <w:sz w:val="24"/>
          <w:szCs w:val="24"/>
        </w:rPr>
        <w:t>3.1-</w:t>
      </w:r>
      <w:r>
        <w:rPr>
          <w:rFonts w:ascii="Times New Roman" w:hAnsi="Times New Roman" w:cs="Times New Roman"/>
          <w:sz w:val="24"/>
          <w:szCs w:val="24"/>
          <w:lang w:val="en-US"/>
        </w:rPr>
        <w:t>EYFP</w:t>
      </w:r>
      <w:r>
        <w:rPr>
          <w:rFonts w:ascii="Times New Roman" w:hAnsi="Times New Roman" w:cs="Times New Roman"/>
          <w:sz w:val="24"/>
          <w:szCs w:val="24"/>
        </w:rPr>
        <w:t xml:space="preserve"> в программном обеспечении </w:t>
      </w:r>
      <w:r>
        <w:rPr>
          <w:rFonts w:ascii="Times New Roman" w:hAnsi="Times New Roman" w:cs="Times New Roman"/>
          <w:sz w:val="24"/>
          <w:szCs w:val="24"/>
          <w:lang w:val="en-US"/>
        </w:rPr>
        <w:t>SnapGene</w:t>
      </w:r>
      <w:r>
        <w:rPr>
          <w:rFonts w:ascii="Times New Roman" w:hAnsi="Times New Roman" w:cs="Times New Roman"/>
          <w:sz w:val="24"/>
          <w:szCs w:val="24"/>
        </w:rPr>
        <w:t xml:space="preserve"> способом, который вы считаете оптимальным.</w:t>
      </w:r>
    </w:p>
    <w:p w14:paraId="73DD9896" w14:textId="0BD03FC8" w:rsidR="00117AB6" w:rsidRDefault="00F070F1" w:rsidP="00117AB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получения генетической конструкции был выбран метод клонирования «рестрикции-лигирования»</w:t>
      </w:r>
      <w:r w:rsidR="00962D67">
        <w:rPr>
          <w:rFonts w:ascii="Times New Roman" w:hAnsi="Times New Roman" w:cs="Times New Roman"/>
          <w:sz w:val="24"/>
          <w:szCs w:val="24"/>
        </w:rPr>
        <w:t xml:space="preserve"> по ряду причин:</w:t>
      </w:r>
    </w:p>
    <w:p w14:paraId="01AAAD8A" w14:textId="0B7BDE44" w:rsidR="00962D67" w:rsidRDefault="00962D67" w:rsidP="00962D67">
      <w:pPr>
        <w:pStyle w:val="ListParagraph"/>
        <w:numPr>
          <w:ilvl w:val="3"/>
          <w:numId w:val="1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случае вставляется 1 фрагмент;</w:t>
      </w:r>
    </w:p>
    <w:p w14:paraId="2A0A88C2" w14:textId="126A5EDE" w:rsidR="00962D67" w:rsidRPr="00962D67" w:rsidRDefault="00962D67" w:rsidP="00962D67">
      <w:pPr>
        <w:pStyle w:val="ListParagraph"/>
        <w:numPr>
          <w:ilvl w:val="3"/>
          <w:numId w:val="1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Размер вставки – 744 </w:t>
      </w:r>
      <w:r>
        <w:rPr>
          <w:rFonts w:ascii="Times New Roman" w:hAnsi="Times New Roman" w:cs="Times New Roman"/>
          <w:sz w:val="24"/>
          <w:szCs w:val="24"/>
          <w:lang w:val="en-US"/>
        </w:rPr>
        <w:t>bp</w:t>
      </w:r>
      <w:r>
        <w:rPr>
          <w:rFonts w:ascii="Times New Roman" w:hAnsi="Times New Roman" w:cs="Times New Roman"/>
          <w:sz w:val="24"/>
          <w:szCs w:val="24"/>
        </w:rPr>
        <w:t xml:space="preserve"> (вставка </w:t>
      </w:r>
      <w:r w:rsidR="0010278A">
        <w:rPr>
          <w:rFonts w:ascii="Times New Roman" w:hAnsi="Times New Roman" w:cs="Times New Roman"/>
          <w:sz w:val="24"/>
          <w:szCs w:val="24"/>
        </w:rPr>
        <w:t>невелика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62D67">
        <w:rPr>
          <w:rFonts w:ascii="Times New Roman" w:hAnsi="Times New Roman" w:cs="Times New Roman"/>
          <w:sz w:val="24"/>
          <w:szCs w:val="24"/>
        </w:rPr>
        <w:t>;</w:t>
      </w:r>
    </w:p>
    <w:p w14:paraId="1CD46606" w14:textId="560305AC" w:rsidR="00962D67" w:rsidRDefault="00962D67" w:rsidP="00962D67">
      <w:pPr>
        <w:pStyle w:val="ListParagraph"/>
        <w:numPr>
          <w:ilvl w:val="3"/>
          <w:numId w:val="1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Невозможно п</w:t>
      </w:r>
      <w:r w:rsidRPr="00962D67">
        <w:rPr>
          <w:rFonts w:ascii="Times New Roman" w:hAnsi="Times New Roman" w:cs="Times New Roman"/>
          <w:sz w:val="24"/>
          <w:szCs w:val="24"/>
        </w:rPr>
        <w:t>еремещение генов между векторами без ферментов рестрикции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69A59C" w14:textId="7DAA36C2" w:rsidR="00962D67" w:rsidRDefault="00962D67" w:rsidP="00962D67">
      <w:pPr>
        <w:pStyle w:val="ListParagraph"/>
        <w:numPr>
          <w:ilvl w:val="3"/>
          <w:numId w:val="1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 использование широкого спектра векторов;</w:t>
      </w:r>
    </w:p>
    <w:p w14:paraId="32478AF2" w14:textId="6C02E8DB" w:rsidR="00962D67" w:rsidRDefault="00962D67" w:rsidP="00962D67">
      <w:pPr>
        <w:pStyle w:val="ListParagraph"/>
        <w:numPr>
          <w:ilvl w:val="3"/>
          <w:numId w:val="1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доступный и является весьма распространённым методом </w:t>
      </w:r>
      <w:r w:rsidR="0010278A">
        <w:rPr>
          <w:rFonts w:ascii="Times New Roman" w:hAnsi="Times New Roman" w:cs="Times New Roman"/>
          <w:sz w:val="24"/>
          <w:szCs w:val="24"/>
        </w:rPr>
        <w:t>клонирования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5258F7" w14:textId="75CE7DCA" w:rsidR="00F070F1" w:rsidRDefault="00F070F1" w:rsidP="00117AB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последовательность вектора: </w:t>
      </w:r>
      <w:hyperlink r:id="rId12" w:history="1">
        <w:r w:rsidRPr="00D54E5A">
          <w:rPr>
            <w:rStyle w:val="Hyperlink"/>
            <w:rFonts w:ascii="Times New Roman" w:hAnsi="Times New Roman" w:cs="Times New Roman"/>
            <w:sz w:val="24"/>
            <w:szCs w:val="24"/>
          </w:rPr>
          <w:t>https://www.snapgene.com/plasmids/basic_cloning_vectors/pcDNA3.1(%2B)</w:t>
        </w:r>
      </w:hyperlink>
    </w:p>
    <w:p w14:paraId="56C56590" w14:textId="1ADE5366" w:rsidR="00F070F1" w:rsidRDefault="00F070F1" w:rsidP="00117AB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последовательность </w:t>
      </w:r>
      <w:r>
        <w:rPr>
          <w:rFonts w:ascii="Times New Roman" w:hAnsi="Times New Roman" w:cs="Times New Roman"/>
          <w:sz w:val="24"/>
          <w:szCs w:val="24"/>
          <w:lang w:val="en-US"/>
        </w:rPr>
        <w:t>EYFP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A0632F9" w14:textId="34FD226B" w:rsidR="00F070F1" w:rsidRDefault="00F070F1" w:rsidP="00117AB6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D54E5A">
          <w:rPr>
            <w:rStyle w:val="Hyperlink"/>
            <w:rFonts w:ascii="Times New Roman" w:hAnsi="Times New Roman" w:cs="Times New Roman"/>
            <w:sz w:val="24"/>
            <w:szCs w:val="24"/>
          </w:rPr>
          <w:t>https://www.snapgene.com/plasmids/fluorescent_protein_genes_and_plasmids/EYFP</w:t>
        </w:r>
      </w:hyperlink>
    </w:p>
    <w:p w14:paraId="5044F745" w14:textId="77777777" w:rsidR="00F070F1" w:rsidRDefault="00F070F1" w:rsidP="00117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4FD676" w14:textId="364F1BD3" w:rsidR="00F070F1" w:rsidRPr="00F070F1" w:rsidRDefault="00F070F1" w:rsidP="00117AB6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F070F1">
        <w:rPr>
          <w:rFonts w:ascii="Times New Roman" w:hAnsi="Times New Roman" w:cs="Times New Roman"/>
          <w:sz w:val="24"/>
          <w:szCs w:val="24"/>
          <w:u w:val="single"/>
        </w:rPr>
        <w:t>Карта последовательности (вставки):</w:t>
      </w:r>
    </w:p>
    <w:p w14:paraId="4A97A2D8" w14:textId="434DC804" w:rsidR="00F070F1" w:rsidRDefault="00F070F1" w:rsidP="00F070F1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FF18E6" wp14:editId="2A4FE9B5">
            <wp:extent cx="6004550" cy="832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YFP Map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981" cy="83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3438" w14:textId="1724ECC2" w:rsidR="00F070F1" w:rsidRPr="00F070F1" w:rsidRDefault="00F070F1" w:rsidP="00F070F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Сайты рестрикции для вставки гена: </w:t>
      </w:r>
      <w:r>
        <w:rPr>
          <w:rFonts w:ascii="Times New Roman" w:hAnsi="Times New Roman" w:cs="Times New Roman"/>
          <w:sz w:val="24"/>
          <w:szCs w:val="24"/>
          <w:lang w:val="en-US"/>
        </w:rPr>
        <w:t>BmtI</w:t>
      </w:r>
      <w:r w:rsidRPr="00F070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XbaI</w:t>
      </w:r>
      <w:r w:rsidRPr="00F070F1">
        <w:rPr>
          <w:rFonts w:ascii="Times New Roman" w:hAnsi="Times New Roman" w:cs="Times New Roman"/>
          <w:sz w:val="24"/>
          <w:szCs w:val="24"/>
        </w:rPr>
        <w:t>.</w:t>
      </w:r>
    </w:p>
    <w:p w14:paraId="6E1E29C0" w14:textId="7C97EF82" w:rsidR="00F070F1" w:rsidRPr="00F070F1" w:rsidRDefault="00F070F1" w:rsidP="00117AB6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F070F1">
        <w:rPr>
          <w:rFonts w:ascii="Times New Roman" w:hAnsi="Times New Roman" w:cs="Times New Roman"/>
          <w:sz w:val="24"/>
          <w:szCs w:val="24"/>
          <w:u w:val="single"/>
        </w:rPr>
        <w:t>Карта вектора:</w:t>
      </w:r>
    </w:p>
    <w:p w14:paraId="1634A483" w14:textId="1482AAD2" w:rsidR="00F070F1" w:rsidRDefault="00F070F1" w:rsidP="00F070F1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E00271" wp14:editId="5403F583">
            <wp:extent cx="4434205" cy="3958792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cDNA3.1(+) Map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514" cy="397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7548" w14:textId="77777777" w:rsidR="00F070F1" w:rsidRDefault="00F070F1" w:rsidP="00F070F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CF5BD08" w14:textId="77777777" w:rsidR="00F070F1" w:rsidRDefault="00F070F1" w:rsidP="00F070F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A61C69C" w14:textId="77777777" w:rsidR="00F070F1" w:rsidRDefault="00F070F1" w:rsidP="00F070F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38CD6B9" w14:textId="41CC12B0" w:rsidR="00F070F1" w:rsidRPr="0010278A" w:rsidRDefault="00F070F1" w:rsidP="00F070F1">
      <w:pPr>
        <w:pStyle w:val="ListParagraph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10278A">
        <w:rPr>
          <w:rFonts w:ascii="Times New Roman" w:hAnsi="Times New Roman" w:cs="Times New Roman"/>
          <w:sz w:val="24"/>
          <w:szCs w:val="24"/>
          <w:u w:val="single"/>
        </w:rPr>
        <w:t>Карта плазмиды:</w:t>
      </w:r>
    </w:p>
    <w:p w14:paraId="73C0AD7A" w14:textId="601E543C" w:rsidR="00F070F1" w:rsidRDefault="00F070F1" w:rsidP="00962D67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927DF5" wp14:editId="4B2433A0">
            <wp:extent cx="4964438" cy="44767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cDNA3.1-EYFP Map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713" cy="447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320F" w14:textId="77777777" w:rsidR="00F070F1" w:rsidRPr="00F070F1" w:rsidRDefault="00F070F1" w:rsidP="00F070F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1AFE79E" w14:textId="7C571DFD" w:rsidR="00962D67" w:rsidRPr="0010278A" w:rsidRDefault="00962D67" w:rsidP="00117AB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0278A">
        <w:rPr>
          <w:rFonts w:ascii="Times New Roman" w:hAnsi="Times New Roman" w:cs="Times New Roman"/>
          <w:sz w:val="24"/>
          <w:szCs w:val="24"/>
          <w:u w:val="single"/>
        </w:rPr>
        <w:t>Моделирование электрофореза:</w:t>
      </w:r>
    </w:p>
    <w:p w14:paraId="20EE9858" w14:textId="1EE453AB" w:rsidR="00962D67" w:rsidRDefault="00962D67" w:rsidP="00962D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6A7BB9" wp14:editId="4849C854">
            <wp:extent cx="3857625" cy="3614606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lectrophoresi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364" cy="361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5290" w14:textId="77777777" w:rsidR="00962D67" w:rsidRPr="00962D67" w:rsidRDefault="00962D67" w:rsidP="00962D67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62D67">
        <w:rPr>
          <w:rFonts w:ascii="Times New Roman" w:hAnsi="Times New Roman" w:cs="Times New Roman"/>
          <w:sz w:val="24"/>
          <w:szCs w:val="24"/>
          <w:lang w:val="en-US"/>
        </w:rPr>
        <w:lastRenderedPageBreak/>
        <w:t>MW:  1 kb DNA Ladder</w:t>
      </w:r>
    </w:p>
    <w:p w14:paraId="0BBD47E4" w14:textId="77777777" w:rsidR="00962D67" w:rsidRPr="00962D67" w:rsidRDefault="00962D67" w:rsidP="00962D67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62D67">
        <w:rPr>
          <w:rFonts w:ascii="Times New Roman" w:hAnsi="Times New Roman" w:cs="Times New Roman"/>
          <w:sz w:val="24"/>
          <w:szCs w:val="24"/>
          <w:lang w:val="en-US"/>
        </w:rPr>
        <w:t xml:space="preserve">       1. 10 002 bp</w:t>
      </w:r>
    </w:p>
    <w:p w14:paraId="777BA6C1" w14:textId="77777777" w:rsidR="00962D67" w:rsidRPr="00962D67" w:rsidRDefault="00962D67" w:rsidP="00962D67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62D67">
        <w:rPr>
          <w:rFonts w:ascii="Times New Roman" w:hAnsi="Times New Roman" w:cs="Times New Roman"/>
          <w:sz w:val="24"/>
          <w:szCs w:val="24"/>
          <w:lang w:val="en-US"/>
        </w:rPr>
        <w:t xml:space="preserve">       2. 8001 bp</w:t>
      </w:r>
    </w:p>
    <w:p w14:paraId="5DB92B67" w14:textId="77777777" w:rsidR="00962D67" w:rsidRPr="00962D67" w:rsidRDefault="00962D67" w:rsidP="00962D67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62D67">
        <w:rPr>
          <w:rFonts w:ascii="Times New Roman" w:hAnsi="Times New Roman" w:cs="Times New Roman"/>
          <w:sz w:val="24"/>
          <w:szCs w:val="24"/>
          <w:lang w:val="en-US"/>
        </w:rPr>
        <w:t xml:space="preserve">       3. 6001 bp</w:t>
      </w:r>
    </w:p>
    <w:p w14:paraId="23C300D6" w14:textId="77777777" w:rsidR="00962D67" w:rsidRPr="00962D67" w:rsidRDefault="00962D67" w:rsidP="00962D67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62D67">
        <w:rPr>
          <w:rFonts w:ascii="Times New Roman" w:hAnsi="Times New Roman" w:cs="Times New Roman"/>
          <w:sz w:val="24"/>
          <w:szCs w:val="24"/>
          <w:lang w:val="en-US"/>
        </w:rPr>
        <w:t xml:space="preserve">       4. 5001 bp</w:t>
      </w:r>
    </w:p>
    <w:p w14:paraId="0B03D33C" w14:textId="77777777" w:rsidR="00962D67" w:rsidRPr="00962D67" w:rsidRDefault="00962D67" w:rsidP="00962D67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62D67">
        <w:rPr>
          <w:rFonts w:ascii="Times New Roman" w:hAnsi="Times New Roman" w:cs="Times New Roman"/>
          <w:sz w:val="24"/>
          <w:szCs w:val="24"/>
          <w:lang w:val="en-US"/>
        </w:rPr>
        <w:t xml:space="preserve">       5. 4001 bp</w:t>
      </w:r>
    </w:p>
    <w:p w14:paraId="2CCB4ED5" w14:textId="77777777" w:rsidR="00962D67" w:rsidRPr="00962D67" w:rsidRDefault="00962D67" w:rsidP="00962D67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62D67">
        <w:rPr>
          <w:rFonts w:ascii="Times New Roman" w:hAnsi="Times New Roman" w:cs="Times New Roman"/>
          <w:sz w:val="24"/>
          <w:szCs w:val="24"/>
          <w:lang w:val="en-US"/>
        </w:rPr>
        <w:t xml:space="preserve">       6. 3001 bp</w:t>
      </w:r>
    </w:p>
    <w:p w14:paraId="0E9C1766" w14:textId="77777777" w:rsidR="00962D67" w:rsidRPr="00962D67" w:rsidRDefault="00962D67" w:rsidP="00962D67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62D67">
        <w:rPr>
          <w:rFonts w:ascii="Times New Roman" w:hAnsi="Times New Roman" w:cs="Times New Roman"/>
          <w:sz w:val="24"/>
          <w:szCs w:val="24"/>
          <w:lang w:val="en-US"/>
        </w:rPr>
        <w:t xml:space="preserve">       7. 2000 bp</w:t>
      </w:r>
    </w:p>
    <w:p w14:paraId="153A6B9D" w14:textId="77777777" w:rsidR="00962D67" w:rsidRPr="00962D67" w:rsidRDefault="00962D67" w:rsidP="00962D67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62D67">
        <w:rPr>
          <w:rFonts w:ascii="Times New Roman" w:hAnsi="Times New Roman" w:cs="Times New Roman"/>
          <w:sz w:val="24"/>
          <w:szCs w:val="24"/>
          <w:lang w:val="en-US"/>
        </w:rPr>
        <w:t xml:space="preserve">       8. 1500 bp</w:t>
      </w:r>
    </w:p>
    <w:p w14:paraId="7D3F2B6A" w14:textId="77777777" w:rsidR="00962D67" w:rsidRPr="00962D67" w:rsidRDefault="00962D67" w:rsidP="00962D67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62D67">
        <w:rPr>
          <w:rFonts w:ascii="Times New Roman" w:hAnsi="Times New Roman" w:cs="Times New Roman"/>
          <w:sz w:val="24"/>
          <w:szCs w:val="24"/>
          <w:lang w:val="en-US"/>
        </w:rPr>
        <w:t xml:space="preserve">       9. 1000 bp</w:t>
      </w:r>
    </w:p>
    <w:p w14:paraId="7B718959" w14:textId="77777777" w:rsidR="00962D67" w:rsidRPr="00962D67" w:rsidRDefault="00962D67" w:rsidP="00962D67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62D67">
        <w:rPr>
          <w:rFonts w:ascii="Times New Roman" w:hAnsi="Times New Roman" w:cs="Times New Roman"/>
          <w:sz w:val="24"/>
          <w:szCs w:val="24"/>
          <w:lang w:val="en-US"/>
        </w:rPr>
        <w:t xml:space="preserve">       10. 517 bp</w:t>
      </w:r>
    </w:p>
    <w:p w14:paraId="4DAF27AC" w14:textId="77777777" w:rsidR="00962D67" w:rsidRPr="00962D67" w:rsidRDefault="00962D67" w:rsidP="00962D67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62D67">
        <w:rPr>
          <w:rFonts w:ascii="Times New Roman" w:hAnsi="Times New Roman" w:cs="Times New Roman"/>
          <w:sz w:val="24"/>
          <w:szCs w:val="24"/>
          <w:lang w:val="en-US"/>
        </w:rPr>
        <w:t xml:space="preserve">       11. 500 bp</w:t>
      </w:r>
    </w:p>
    <w:p w14:paraId="1C6E329A" w14:textId="77777777" w:rsidR="00962D67" w:rsidRPr="00962D67" w:rsidRDefault="00962D67" w:rsidP="00962D67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62D67">
        <w:rPr>
          <w:rFonts w:ascii="Times New Roman" w:hAnsi="Times New Roman" w:cs="Times New Roman"/>
          <w:sz w:val="24"/>
          <w:szCs w:val="24"/>
          <w:lang w:val="en-US"/>
        </w:rPr>
        <w:t>1:  EYFP</w:t>
      </w:r>
    </w:p>
    <w:p w14:paraId="4A97F804" w14:textId="77777777" w:rsidR="00962D67" w:rsidRPr="00962D67" w:rsidRDefault="00962D67" w:rsidP="00962D67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62D67">
        <w:rPr>
          <w:rFonts w:ascii="Times New Roman" w:hAnsi="Times New Roman" w:cs="Times New Roman"/>
          <w:sz w:val="24"/>
          <w:szCs w:val="24"/>
          <w:lang w:val="en-US"/>
        </w:rPr>
        <w:t xml:space="preserve">       1. 744 bp</w:t>
      </w:r>
    </w:p>
    <w:p w14:paraId="38263D0D" w14:textId="77777777" w:rsidR="00962D67" w:rsidRPr="00962D67" w:rsidRDefault="00962D67" w:rsidP="00962D67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62D67">
        <w:rPr>
          <w:rFonts w:ascii="Times New Roman" w:hAnsi="Times New Roman" w:cs="Times New Roman"/>
          <w:sz w:val="24"/>
          <w:szCs w:val="24"/>
          <w:lang w:val="en-US"/>
        </w:rPr>
        <w:t>2:  pcDNA3</w:t>
      </w:r>
    </w:p>
    <w:p w14:paraId="2E00E48E" w14:textId="77777777" w:rsidR="00962D67" w:rsidRPr="00962D67" w:rsidRDefault="00962D67" w:rsidP="00962D67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62D67">
        <w:rPr>
          <w:rFonts w:ascii="Times New Roman" w:hAnsi="Times New Roman" w:cs="Times New Roman"/>
          <w:sz w:val="24"/>
          <w:szCs w:val="24"/>
          <w:lang w:val="en-US"/>
        </w:rPr>
        <w:t xml:space="preserve">       1. 5428 bp</w:t>
      </w:r>
    </w:p>
    <w:p w14:paraId="038EEEF9" w14:textId="467E94D8" w:rsidR="00962D67" w:rsidRPr="00962D67" w:rsidRDefault="00962D67" w:rsidP="00962D67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0278A">
        <w:rPr>
          <w:rFonts w:ascii="Times New Roman" w:hAnsi="Times New Roman" w:cs="Times New Roman"/>
          <w:sz w:val="24"/>
          <w:szCs w:val="24"/>
        </w:rPr>
        <w:t xml:space="preserve">3:  </w:t>
      </w:r>
      <w:r w:rsidRPr="00962D67">
        <w:rPr>
          <w:rFonts w:ascii="Times New Roman" w:hAnsi="Times New Roman" w:cs="Times New Roman"/>
          <w:sz w:val="24"/>
          <w:szCs w:val="24"/>
          <w:lang w:val="en-US"/>
        </w:rPr>
        <w:t>pcDNA</w:t>
      </w:r>
      <w:r w:rsidRPr="0010278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EYFP</w:t>
      </w:r>
    </w:p>
    <w:p w14:paraId="46DD6527" w14:textId="3684087B" w:rsidR="00962D67" w:rsidRPr="0010278A" w:rsidRDefault="00962D67" w:rsidP="00962D67">
      <w:pPr>
        <w:spacing w:before="100" w:beforeAutospacing="1" w:after="100" w:afterAutospacing="1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10278A">
        <w:rPr>
          <w:rFonts w:ascii="Times New Roman" w:hAnsi="Times New Roman" w:cs="Times New Roman"/>
          <w:sz w:val="24"/>
          <w:szCs w:val="24"/>
        </w:rPr>
        <w:t xml:space="preserve">1. </w:t>
      </w:r>
      <w:r w:rsidRPr="0010278A">
        <w:rPr>
          <w:rFonts w:ascii="Times New Roman" w:hAnsi="Times New Roman" w:cs="Times New Roman"/>
          <w:sz w:val="24"/>
          <w:szCs w:val="24"/>
        </w:rPr>
        <w:t xml:space="preserve">6058 </w:t>
      </w:r>
      <w:r w:rsidRPr="00962D67">
        <w:rPr>
          <w:rFonts w:ascii="Times New Roman" w:hAnsi="Times New Roman" w:cs="Times New Roman"/>
          <w:sz w:val="24"/>
          <w:szCs w:val="24"/>
          <w:lang w:val="en-US"/>
        </w:rPr>
        <w:t>bp</w:t>
      </w:r>
    </w:p>
    <w:p w14:paraId="03A4DEAC" w14:textId="6EF6FE24" w:rsidR="00962D67" w:rsidRPr="0010278A" w:rsidRDefault="0010278A" w:rsidP="00962D6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0278A">
        <w:rPr>
          <w:rFonts w:ascii="Times New Roman" w:hAnsi="Times New Roman" w:cs="Times New Roman"/>
          <w:sz w:val="24"/>
          <w:szCs w:val="24"/>
          <w:u w:val="single"/>
        </w:rPr>
        <w:t>Подбор праймеров к последовательности вставки:</w:t>
      </w:r>
    </w:p>
    <w:p w14:paraId="67D828E2" w14:textId="46AC0AB3" w:rsidR="0010278A" w:rsidRPr="0010278A" w:rsidRDefault="0010278A" w:rsidP="00962D67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0278A">
        <w:rPr>
          <w:rFonts w:ascii="Times New Roman" w:hAnsi="Times New Roman" w:cs="Times New Roman"/>
          <w:i/>
          <w:sz w:val="24"/>
          <w:szCs w:val="24"/>
        </w:rPr>
        <w:t>Амплифицируемый фрагмент:</w:t>
      </w:r>
    </w:p>
    <w:p w14:paraId="512359A8" w14:textId="5104EF6F" w:rsidR="0010278A" w:rsidRDefault="0010278A" w:rsidP="0010278A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625322" wp14:editId="1CFD6C8C">
            <wp:extent cx="5940425" cy="795655"/>
            <wp:effectExtent l="0" t="0" r="317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mplified-EYFP Map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F0EE" w14:textId="47AC0E63" w:rsidR="0010278A" w:rsidRDefault="0010278A" w:rsidP="0010278A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Характеристики праймеров:</w:t>
      </w:r>
    </w:p>
    <w:p w14:paraId="3CE1BAE9" w14:textId="77777777" w:rsidR="0010278A" w:rsidRPr="0010278A" w:rsidRDefault="0010278A" w:rsidP="0010278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278A">
        <w:rPr>
          <w:rFonts w:ascii="Times New Roman" w:hAnsi="Times New Roman" w:cs="Times New Roman"/>
          <w:sz w:val="24"/>
          <w:szCs w:val="24"/>
        </w:rPr>
        <w:t>Primer 1</w:t>
      </w:r>
      <w:r w:rsidRPr="0010278A">
        <w:rPr>
          <w:rFonts w:ascii="Times New Roman" w:hAnsi="Times New Roman" w:cs="Times New Roman"/>
          <w:sz w:val="24"/>
          <w:szCs w:val="24"/>
        </w:rPr>
        <w:tab/>
        <w:t>ATGGTGAGCAAGGGCGAGGA</w:t>
      </w:r>
      <w:r w:rsidRPr="0010278A">
        <w:rPr>
          <w:rFonts w:ascii="Times New Roman" w:hAnsi="Times New Roman" w:cs="Times New Roman"/>
          <w:sz w:val="24"/>
          <w:szCs w:val="24"/>
        </w:rPr>
        <w:tab/>
        <w:t>20-mer</w:t>
      </w:r>
      <w:r w:rsidRPr="0010278A">
        <w:rPr>
          <w:rFonts w:ascii="Times New Roman" w:hAnsi="Times New Roman" w:cs="Times New Roman"/>
          <w:sz w:val="24"/>
          <w:szCs w:val="24"/>
        </w:rPr>
        <w:tab/>
      </w:r>
      <w:r w:rsidRPr="0010278A">
        <w:rPr>
          <w:rFonts w:ascii="Times New Roman" w:hAnsi="Times New Roman" w:cs="Times New Roman"/>
          <w:sz w:val="24"/>
          <w:szCs w:val="24"/>
        </w:rPr>
        <w:tab/>
        <w:t>60% GC</w:t>
      </w:r>
      <w:r w:rsidRPr="0010278A">
        <w:rPr>
          <w:rFonts w:ascii="Times New Roman" w:hAnsi="Times New Roman" w:cs="Times New Roman"/>
          <w:sz w:val="24"/>
          <w:szCs w:val="24"/>
        </w:rPr>
        <w:tab/>
        <w:t>6296,2 Da</w:t>
      </w:r>
      <w:r w:rsidRPr="0010278A">
        <w:rPr>
          <w:rFonts w:ascii="Times New Roman" w:hAnsi="Times New Roman" w:cs="Times New Roman"/>
          <w:sz w:val="24"/>
          <w:szCs w:val="24"/>
        </w:rPr>
        <w:tab/>
        <w:t>Binds at: 1 -&gt; 20</w:t>
      </w:r>
    </w:p>
    <w:p w14:paraId="7AEF4161" w14:textId="3ACC5164" w:rsidR="0010278A" w:rsidRPr="0010278A" w:rsidRDefault="0010278A" w:rsidP="0010278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278A">
        <w:rPr>
          <w:rFonts w:ascii="Times New Roman" w:hAnsi="Times New Roman" w:cs="Times New Roman"/>
          <w:sz w:val="24"/>
          <w:szCs w:val="24"/>
          <w:lang w:val="en-US"/>
        </w:rPr>
        <w:t>Primer 2</w:t>
      </w:r>
      <w:r w:rsidRPr="0010278A">
        <w:rPr>
          <w:rFonts w:ascii="Times New Roman" w:hAnsi="Times New Roman" w:cs="Times New Roman"/>
          <w:sz w:val="24"/>
          <w:szCs w:val="24"/>
          <w:lang w:val="en-US"/>
        </w:rPr>
        <w:tab/>
        <w:t>TTACTTGTACAGCTCGTCCA</w:t>
      </w:r>
      <w:r w:rsidRPr="0010278A">
        <w:rPr>
          <w:rFonts w:ascii="Times New Roman" w:hAnsi="Times New Roman" w:cs="Times New Roman"/>
          <w:sz w:val="24"/>
          <w:szCs w:val="24"/>
          <w:lang w:val="en-US"/>
        </w:rPr>
        <w:tab/>
        <w:t>20-mer</w:t>
      </w:r>
      <w:r w:rsidRPr="001027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278A">
        <w:rPr>
          <w:rFonts w:ascii="Times New Roman" w:hAnsi="Times New Roman" w:cs="Times New Roman"/>
          <w:sz w:val="24"/>
          <w:szCs w:val="24"/>
          <w:lang w:val="en-US"/>
        </w:rPr>
        <w:tab/>
        <w:t>45% GC</w:t>
      </w:r>
      <w:r w:rsidRPr="0010278A">
        <w:rPr>
          <w:rFonts w:ascii="Times New Roman" w:hAnsi="Times New Roman" w:cs="Times New Roman"/>
          <w:sz w:val="24"/>
          <w:szCs w:val="24"/>
          <w:lang w:val="en-US"/>
        </w:rPr>
        <w:tab/>
        <w:t>6043,0 Da</w:t>
      </w:r>
      <w:r w:rsidRPr="0010278A">
        <w:rPr>
          <w:rFonts w:ascii="Times New Roman" w:hAnsi="Times New Roman" w:cs="Times New Roman"/>
          <w:sz w:val="24"/>
          <w:szCs w:val="24"/>
          <w:lang w:val="en-US"/>
        </w:rPr>
        <w:tab/>
        <w:t>Binds at: 701 &lt;- 720</w:t>
      </w:r>
    </w:p>
    <w:p w14:paraId="08BD4FD7" w14:textId="28B4DBAD" w:rsidR="005B3723" w:rsidRPr="00962D67" w:rsidRDefault="00962D6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62D67">
        <w:rPr>
          <w:rFonts w:ascii="Times New Roman" w:hAnsi="Times New Roman" w:cs="Times New Roman"/>
          <w:b/>
          <w:sz w:val="24"/>
          <w:szCs w:val="24"/>
        </w:rPr>
        <w:t>Источники</w:t>
      </w:r>
      <w:r w:rsidRPr="00962D6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4ACEAB3" w14:textId="330208E0" w:rsidR="00962D67" w:rsidRDefault="00962D67" w:rsidP="00962D6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962D67">
        <w:rPr>
          <w:rFonts w:ascii="Times New Roman" w:hAnsi="Times New Roman" w:cs="Times New Roman"/>
          <w:sz w:val="24"/>
          <w:lang w:val="en-US"/>
        </w:rPr>
        <w:t xml:space="preserve">“Choosing a Cloning Method - US.” Www.thermofisher.com, </w:t>
      </w:r>
      <w:hyperlink r:id="rId19" w:history="1">
        <w:r w:rsidRPr="00D54E5A">
          <w:rPr>
            <w:rStyle w:val="Hyperlink"/>
            <w:rFonts w:ascii="Times New Roman" w:hAnsi="Times New Roman" w:cs="Times New Roman"/>
            <w:sz w:val="24"/>
            <w:lang w:val="en-US"/>
          </w:rPr>
          <w:t>www.thermofisher.com/ru/ru/home/references/an-introduction-to-cloning-a-researchers-guide-to-cloning-dna/choose-a-cloning-method.html. Accessed 10 May 2023</w:t>
        </w:r>
      </w:hyperlink>
      <w:r w:rsidRPr="00962D67">
        <w:rPr>
          <w:rFonts w:ascii="Times New Roman" w:hAnsi="Times New Roman" w:cs="Times New Roman"/>
          <w:sz w:val="24"/>
          <w:lang w:val="en-US"/>
        </w:rPr>
        <w:t>.</w:t>
      </w:r>
    </w:p>
    <w:p w14:paraId="71D85C12" w14:textId="3697B3FD" w:rsidR="00962D67" w:rsidRDefault="0010278A" w:rsidP="0010278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en-US"/>
        </w:rPr>
      </w:pPr>
      <w:hyperlink r:id="rId20" w:history="1">
        <w:r w:rsidRPr="00D54E5A">
          <w:rPr>
            <w:rStyle w:val="Hyperlink"/>
            <w:rFonts w:ascii="Times New Roman" w:hAnsi="Times New Roman" w:cs="Times New Roman"/>
            <w:sz w:val="24"/>
            <w:lang w:val="en-US"/>
          </w:rPr>
          <w:t>https://drive.google.com/drive/folders/1ayx6Zs-oL5yW2ctE-kN_0k7r96Lv6MrM?usp=share_link</w:t>
        </w:r>
      </w:hyperlink>
    </w:p>
    <w:p w14:paraId="7CF52FD9" w14:textId="77777777" w:rsidR="0010278A" w:rsidRPr="0010278A" w:rsidRDefault="0010278A" w:rsidP="0010278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sectPr w:rsidR="0010278A" w:rsidRPr="00102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5A583B" w14:textId="77777777" w:rsidR="005C3B3B" w:rsidRDefault="005C3B3B" w:rsidP="0046784B">
      <w:pPr>
        <w:spacing w:after="0" w:line="240" w:lineRule="auto"/>
      </w:pPr>
      <w:r>
        <w:separator/>
      </w:r>
    </w:p>
  </w:endnote>
  <w:endnote w:type="continuationSeparator" w:id="0">
    <w:p w14:paraId="09A07512" w14:textId="77777777" w:rsidR="005C3B3B" w:rsidRDefault="005C3B3B" w:rsidP="00467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3529CB" w14:textId="77777777" w:rsidR="005C3B3B" w:rsidRDefault="005C3B3B" w:rsidP="0046784B">
      <w:pPr>
        <w:spacing w:after="0" w:line="240" w:lineRule="auto"/>
      </w:pPr>
      <w:r>
        <w:separator/>
      </w:r>
    </w:p>
  </w:footnote>
  <w:footnote w:type="continuationSeparator" w:id="0">
    <w:p w14:paraId="4EFF51FD" w14:textId="77777777" w:rsidR="005C3B3B" w:rsidRDefault="005C3B3B" w:rsidP="004678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C403B5"/>
    <w:multiLevelType w:val="hybridMultilevel"/>
    <w:tmpl w:val="7F765F8A"/>
    <w:lvl w:ilvl="0" w:tplc="0574A1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C153905"/>
    <w:multiLevelType w:val="hybridMultilevel"/>
    <w:tmpl w:val="A02C4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B16EB"/>
    <w:multiLevelType w:val="hybridMultilevel"/>
    <w:tmpl w:val="49549A70"/>
    <w:lvl w:ilvl="0" w:tplc="4AC4A4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86EF1"/>
    <w:multiLevelType w:val="hybridMultilevel"/>
    <w:tmpl w:val="C0E00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E3F26"/>
    <w:multiLevelType w:val="hybridMultilevel"/>
    <w:tmpl w:val="059EE7F6"/>
    <w:lvl w:ilvl="0" w:tplc="0876E2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6AC41C54"/>
    <w:multiLevelType w:val="hybridMultilevel"/>
    <w:tmpl w:val="F6B89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248FC"/>
    <w:multiLevelType w:val="hybridMultilevel"/>
    <w:tmpl w:val="79587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634D8"/>
    <w:multiLevelType w:val="hybridMultilevel"/>
    <w:tmpl w:val="F5BA9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4B"/>
    <w:rsid w:val="0010278A"/>
    <w:rsid w:val="0010489A"/>
    <w:rsid w:val="00117AB6"/>
    <w:rsid w:val="0046784B"/>
    <w:rsid w:val="0059089B"/>
    <w:rsid w:val="005B3723"/>
    <w:rsid w:val="005C3B3B"/>
    <w:rsid w:val="005F17F7"/>
    <w:rsid w:val="006018EF"/>
    <w:rsid w:val="006742F6"/>
    <w:rsid w:val="00677492"/>
    <w:rsid w:val="00783A33"/>
    <w:rsid w:val="00880D61"/>
    <w:rsid w:val="008A3D99"/>
    <w:rsid w:val="00962D67"/>
    <w:rsid w:val="009746E0"/>
    <w:rsid w:val="00A1644C"/>
    <w:rsid w:val="00B623AC"/>
    <w:rsid w:val="00C07C72"/>
    <w:rsid w:val="00DF5979"/>
    <w:rsid w:val="00E448B3"/>
    <w:rsid w:val="00F070F1"/>
    <w:rsid w:val="00FF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D9F84"/>
  <w15:chartTrackingRefBased/>
  <w15:docId w15:val="{11256818-0BA8-4E8E-B70D-5A201288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84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8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0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snapgene.com/plasmids/fluorescent_protein_genes_and_plasmids/EYFP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snapgene.com/plasmids/basic_cloning_vectors/pcDNA3.1(%2B)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drive.google.com/drive/folders/1ayx6Zs-oL5yW2ctE-kN_0k7r96Lv6MrM?usp=share_link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researchgate.net/post/Are-polyAs-strictly-necessary/52f154b1d2fd64304c8b45c9/citation/download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image" Target="media/image1.jpeg"/><Relationship Id="rId19" Type="http://schemas.openxmlformats.org/officeDocument/2006/relationships/hyperlink" Target="http://www.thermofisher.com/ru/ru/home/references/an-introduction-to-cloning-a-researchers-guide-to-cloning-dna/choose-a-cloning-method.html.%20Accessed%2010%20May%202023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2881369D53B13439A3FE46DCBBFF391" ma:contentTypeVersion="16" ma:contentTypeDescription="Создание документа." ma:contentTypeScope="" ma:versionID="1a4c69d6f4be7df474a7892c5239afe6">
  <xsd:schema xmlns:xsd="http://www.w3.org/2001/XMLSchema" xmlns:xs="http://www.w3.org/2001/XMLSchema" xmlns:p="http://schemas.microsoft.com/office/2006/metadata/properties" xmlns:ns2="2c3df61b-3502-4f10-a533-735981e934da" xmlns:ns3="9a87fd55-1da1-4d46-a5a8-4ddc854d8cb1" targetNamespace="http://schemas.microsoft.com/office/2006/metadata/properties" ma:root="true" ma:fieldsID="016cfad7b387a66efc12e70fa9836e94" ns2:_="" ns3:_="">
    <xsd:import namespace="2c3df61b-3502-4f10-a533-735981e934da"/>
    <xsd:import namespace="9a87fd55-1da1-4d46-a5a8-4ddc854d8c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df61b-3502-4f10-a533-735981e934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1600fac0-03fd-44f3-949a-83cfeb9525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87fd55-1da1-4d46-a5a8-4ddc854d8cb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f890625-55cf-49fc-9c07-30778f84598d}" ma:internalName="TaxCatchAll" ma:showField="CatchAllData" ma:web="9a87fd55-1da1-4d46-a5a8-4ddc854d8c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3df61b-3502-4f10-a533-735981e934da">
      <Terms xmlns="http://schemas.microsoft.com/office/infopath/2007/PartnerControls"/>
    </lcf76f155ced4ddcb4097134ff3c332f>
    <TaxCatchAll xmlns="9a87fd55-1da1-4d46-a5a8-4ddc854d8cb1" xsi:nil="true"/>
  </documentManagement>
</p:properties>
</file>

<file path=customXml/itemProps1.xml><?xml version="1.0" encoding="utf-8"?>
<ds:datastoreItem xmlns:ds="http://schemas.openxmlformats.org/officeDocument/2006/customXml" ds:itemID="{3BABA9AE-B7C8-4B60-98A0-D12A718F1A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3df61b-3502-4f10-a533-735981e934da"/>
    <ds:schemaRef ds:uri="9a87fd55-1da1-4d46-a5a8-4ddc854d8c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A1A422-89A1-45A3-B1B4-6CCFF448AC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DA14EE-995B-4F4A-BCD2-29C7D954C4D2}">
  <ds:schemaRefs>
    <ds:schemaRef ds:uri="http://schemas.microsoft.com/office/2006/metadata/properties"/>
    <ds:schemaRef ds:uri="http://schemas.microsoft.com/office/infopath/2007/PartnerControls"/>
    <ds:schemaRef ds:uri="2c3df61b-3502-4f10-a533-735981e934da"/>
    <ds:schemaRef ds:uri="9a87fd55-1da1-4d46-a5a8-4ddc854d8cb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3455</TotalTime>
  <Pages>6</Pages>
  <Words>1670</Words>
  <Characters>9521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Fomina Anastasiia</dc:creator>
  <cp:keywords/>
  <dc:description/>
  <cp:lastModifiedBy>Microsoft account</cp:lastModifiedBy>
  <cp:revision>6</cp:revision>
  <dcterms:created xsi:type="dcterms:W3CDTF">2023-03-20T09:12:00Z</dcterms:created>
  <dcterms:modified xsi:type="dcterms:W3CDTF">2023-05-10T20:53:00Z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0x01010032881369D53B13439A3FE46DCBBFF391</vt:lpwstr>
  </property>
</Properties>
</file>