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ate"/>
      </w:pPr>
      <w:r>
        <w:t xml:space="preserve">2022-07-06</w:t>
      </w:r>
      <w:r>
        <w:t xml:space="preserve"> </w:t>
      </w:r>
      <w:r>
        <w:t xml:space="preserve">20:20</w:t>
      </w:r>
    </w:p>
    <w:bookmarkStart w:id="20" w:name="постановка-проблемы-цель"/>
    <w:p>
      <w:pPr>
        <w:pStyle w:val="Heading2"/>
      </w:pPr>
      <w:r>
        <w:t xml:space="preserve">Постановка проблемы / цель</w:t>
      </w:r>
    </w:p>
    <w:p>
      <w:pPr>
        <w:pStyle w:val="FirstParagraph"/>
      </w:pPr>
      <w:r>
        <w:t xml:space="preserve">По проекту WWF® ArcNet построена cеть приоритетных районов в Северном Ледовитом океане и сопредельных морях для сохранения биоразнообразия на основе комплексной оценки биологической ценности локальных экосистем, сгруппированных по принципу эффективного территориального управления. В качестве исходных данных использовались, преимущественно, пространственное распределение объектов живой природы и средообразующих факторов по результатам наблюдений и экспертных оценок.</w:t>
      </w:r>
    </w:p>
    <w:p>
      <w:pPr>
        <w:pStyle w:val="BodyText"/>
      </w:pPr>
      <w:r>
        <w:t xml:space="preserve">Инструмент Geranium предназначен для отображения сочетаемости интересов развития хозяйственной деятельности и сохранения окружающей среды, которая ранжирована экспертами по трем категориям, отвечающим за полную совместимость (хозяйственная деятельность не оказывает влияние на проведение природоохранных мер), частичную совместимость (необходимость ограничения хозяйственной деятельности) и несовместимость (отрицательное влияние хозяйственной деятельности при выполнении мер охраны).</w:t>
      </w:r>
    </w:p>
    <w:p>
      <w:pPr>
        <w:pStyle w:val="BodyText"/>
      </w:pPr>
      <w:r>
        <w:t xml:space="preserve">Инструмент Geranium предназначен для специалистов с различной компетенцией от рабочей группы ArcNet до интересующихся пользователей. В ходе проекта ArcNet сформировалась определенная терминология, используемая учеными ArcNet для обсуждения деталей и выведенная в пользовательский интерфейс Geranium. Часть этой терминологии может быть заменена на обобщенные и более понятные термины, а часть расшифрована в виде словаря.</w:t>
      </w:r>
    </w:p>
    <w:p>
      <w:pPr>
        <w:pStyle w:val="BodyText"/>
      </w:pPr>
      <w:r>
        <w:t xml:space="preserve">Функциональность современной версии Geranium обеспечивает интерактивное взаимодействие с пользователем по формированию запросов через формы ввода и выдаче результатов в графическом и табличном виде. Для интересующихся пользователей необходима интерпретация, которая может быть реализована через динамически формируемый текстовый отчет (machine report, instant report), в котором лингвистические конструкции нанизаны на численные значения сводки, а также служат связующими элементами повествования.</w:t>
      </w:r>
    </w:p>
    <w:p>
      <w:pPr>
        <w:pStyle w:val="BodyText"/>
      </w:pPr>
      <w:r>
        <w:t xml:space="preserve">Machine reports облегчают интерпретацию данных, но могут быть недостаточными для глубокого понимания интересующимися пользователями. Для их обучения в качестве связующего моста будет на основе 2-3 machine reports будут подготовлены соотнесенные с ними human reports.</w:t>
      </w:r>
    </w:p>
    <w:p>
      <w:pPr>
        <w:pStyle w:val="BodyText"/>
      </w:pPr>
      <w:r>
        <w:t xml:space="preserve">Для ключевых, выделенных экспертами, районов пересечения ценных природоохранных районов и активной хозяйственной деятельности на основе machine report учеными ArcNet может быть сформирован human report для включения в брошюру, по материалам которой могут быть организованы совещания заинтересованных сторон.</w:t>
      </w:r>
    </w:p>
    <w:p>
      <w:pPr>
        <w:pStyle w:val="BodyText"/>
      </w:pPr>
      <w:r>
        <w:t xml:space="preserve">На последующих этапах допускается корректировка оценок хозяйственной деятельности, а так как формирование отчетов Geranium происходит динамически, то изменения сразу учитываются. На последующих этапах принятые и утвержденные решения по оценке совместимости могут быть включены в функционал Geranium как в виде пространственных данных, так и в виде human reports.</w:t>
      </w:r>
    </w:p>
    <w:p>
      <w:pPr>
        <w:pStyle w:val="BodyText"/>
      </w:pPr>
      <w:r>
        <w:t xml:space="preserve">TODO: human use</w:t>
      </w:r>
    </w:p>
    <w:bookmarkEnd w:id="20"/>
    <w:bookmarkStart w:id="21" w:name="деятельность-методы-этапы"/>
    <w:p>
      <w:pPr>
        <w:pStyle w:val="Heading2"/>
      </w:pPr>
      <w:r>
        <w:t xml:space="preserve">Деятельность / методы /этапы</w:t>
      </w:r>
    </w:p>
    <w:bookmarkEnd w:id="21"/>
    <w:bookmarkStart w:id="22" w:name="оценка"/>
    <w:p>
      <w:pPr>
        <w:pStyle w:val="Heading2"/>
      </w:pPr>
      <w:r>
        <w:t xml:space="preserve">Оценка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2022-07-06T17:20:57Z</dcterms:created>
  <dcterms:modified xsi:type="dcterms:W3CDTF">2022-07-06T17:20:57Z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2022-07-06 20:20</vt:lpwstr>
  </property>
  <property fmtid="{D5CDD505-2E9C-101B-9397-08002B2CF9AE}" pid="3" name="link-citations">
    <vt:lpwstr>True</vt:lpwstr>
  </property>
  <property fmtid="{D5CDD505-2E9C-101B-9397-08002B2CF9AE}" pid="4" name="output">
    <vt:lpwstr/>
  </property>
  <property fmtid="{D5CDD505-2E9C-101B-9397-08002B2CF9AE}" pid="5" name="pagetitle">
    <vt:lpwstr>grant-prelim</vt:lpwstr>
  </property>
</Properties>
</file>