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CEDC" w14:textId="77777777" w:rsidR="000B51BB" w:rsidRPr="003C3EB7" w:rsidRDefault="000B51BB" w:rsidP="000B51BB">
      <w:pPr>
        <w:keepNext/>
        <w:keepLines/>
        <w:spacing w:before="280" w:after="240"/>
        <w:outlineLvl w:val="3"/>
        <w:rPr>
          <w:sz w:val="24"/>
          <w:szCs w:val="24"/>
          <w:lang w:val="en-GB"/>
        </w:rPr>
      </w:pPr>
      <w:r w:rsidRPr="003C3EB7">
        <w:rPr>
          <w:sz w:val="24"/>
          <w:szCs w:val="24"/>
          <w:lang w:val="en-GB"/>
        </w:rPr>
        <w:t>Case study for conservation concern indexes</w:t>
      </w:r>
    </w:p>
    <w:p w14:paraId="664AAE81" w14:textId="77777777" w:rsidR="000B51BB" w:rsidRPr="000C5A7A" w:rsidRDefault="000B51BB" w:rsidP="000B51BB">
      <w:pPr>
        <w:pStyle w:val="BodyText"/>
        <w:rPr>
          <w:lang w:val="en-GB" w:eastAsia="en-US"/>
        </w:rPr>
      </w:pPr>
      <w:r>
        <w:rPr>
          <w:lang w:val="en-GB" w:eastAsia="en-US"/>
        </w:rPr>
        <w:t>C</w:t>
      </w:r>
      <w:r w:rsidRPr="000C5A7A">
        <w:rPr>
          <w:lang w:val="en-GB" w:eastAsia="en-US"/>
        </w:rPr>
        <w:t xml:space="preserve">onsider an </w:t>
      </w:r>
      <w:r>
        <w:rPr>
          <w:lang w:val="en-GB" w:eastAsia="en-US"/>
        </w:rPr>
        <w:t>area of interest (</w:t>
      </w:r>
      <w:r w:rsidRPr="000C5A7A">
        <w:rPr>
          <w:lang w:val="en-GB" w:eastAsia="en-US"/>
        </w:rPr>
        <w:t>AOI</w:t>
      </w:r>
      <w:r>
        <w:rPr>
          <w:lang w:val="en-GB" w:eastAsia="en-US"/>
        </w:rPr>
        <w:t>)</w:t>
      </w:r>
      <w:r w:rsidRPr="000C5A7A">
        <w:rPr>
          <w:lang w:val="en-GB" w:eastAsia="en-US"/>
        </w:rPr>
        <w:t xml:space="preserve"> </w:t>
      </w:r>
      <w:r>
        <w:rPr>
          <w:lang w:val="en-GB" w:eastAsia="en-US"/>
        </w:rPr>
        <w:t xml:space="preserve">that contains </w:t>
      </w:r>
      <w:r w:rsidRPr="000C5A7A">
        <w:rPr>
          <w:lang w:val="en-GB" w:eastAsia="en-US"/>
        </w:rPr>
        <w:t>three CFs</w:t>
      </w:r>
      <w:r>
        <w:rPr>
          <w:lang w:val="en-GB" w:eastAsia="en-US"/>
        </w:rPr>
        <w:t>,</w:t>
      </w:r>
      <w:r w:rsidRPr="000C5A7A">
        <w:rPr>
          <w:lang w:val="en-GB" w:eastAsia="en-US"/>
        </w:rPr>
        <w:t xml:space="preserve"> </w:t>
      </w:r>
      <m:oMath>
        <m:r>
          <w:rPr>
            <w:rFonts w:ascii="Cambria Math" w:hAnsi="Cambria Math"/>
            <w:lang w:val="en-GB"/>
          </w:rPr>
          <m:t>CF</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3</m:t>
            </m:r>
          </m:sub>
        </m:sSub>
        <m:r>
          <m:rPr>
            <m:sty m:val="p"/>
          </m:rPr>
          <w:rPr>
            <w:rFonts w:ascii="Cambria Math" w:hAnsi="Cambria Math"/>
            <w:lang w:val="en-GB"/>
          </w:rPr>
          <m:t>}</m:t>
        </m:r>
      </m:oMath>
      <w:r>
        <w:rPr>
          <w:lang w:val="en-GB" w:eastAsia="en-US"/>
        </w:rPr>
        <w:t>, and where only</w:t>
      </w:r>
      <w:r w:rsidRPr="000C5A7A">
        <w:rPr>
          <w:lang w:val="en-GB" w:eastAsia="en-US"/>
        </w:rPr>
        <w:t xml:space="preserve"> three commercial activities </w:t>
      </w:r>
      <w:r>
        <w:rPr>
          <w:lang w:val="en-GB" w:eastAsia="en-US"/>
        </w:rPr>
        <w:t xml:space="preserve">are </w:t>
      </w:r>
      <w:r w:rsidRPr="000C5A7A">
        <w:rPr>
          <w:lang w:val="en-GB" w:eastAsia="en-US"/>
        </w:rPr>
        <w:t>physically possible</w:t>
      </w:r>
      <w:r>
        <w:rPr>
          <w:lang w:val="en-GB" w:eastAsia="en-US"/>
        </w:rPr>
        <w:t xml:space="preserve">, </w:t>
      </w:r>
      <m:oMath>
        <m:r>
          <w:rPr>
            <w:rFonts w:ascii="Cambria Math" w:hAnsi="Cambria Math"/>
            <w:lang w:val="en-GB"/>
          </w:rPr>
          <m:t>A</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3</m:t>
            </m:r>
          </m:sub>
        </m:sSub>
        <m:r>
          <m:rPr>
            <m:sty m:val="p"/>
          </m:rPr>
          <w:rPr>
            <w:rFonts w:ascii="Cambria Math" w:hAnsi="Cambria Math"/>
            <w:lang w:val="en-GB"/>
          </w:rPr>
          <m:t>}</m:t>
        </m:r>
      </m:oMath>
      <w:r w:rsidRPr="000C5A7A">
        <w:rPr>
          <w:lang w:val="en-GB" w:eastAsia="en-US"/>
        </w:rPr>
        <w:t xml:space="preserve">. </w:t>
      </w:r>
    </w:p>
    <w:p w14:paraId="5A1569DF" w14:textId="77777777" w:rsidR="000B51BB" w:rsidRPr="004F1E88" w:rsidRDefault="000B51BB" w:rsidP="000B51BB">
      <w:pPr>
        <w:pStyle w:val="BodyText"/>
        <w:rPr>
          <w:lang w:val="en-GB" w:eastAsia="en-US"/>
        </w:rPr>
      </w:pPr>
      <w:r>
        <w:rPr>
          <w:lang w:val="en-GB" w:eastAsia="en-US"/>
        </w:rPr>
        <w:t>A completed concern table is shown in Table 1.</w:t>
      </w:r>
    </w:p>
    <w:p w14:paraId="028B7625" w14:textId="77777777" w:rsidR="000B51BB" w:rsidRDefault="000B51BB" w:rsidP="000B51BB">
      <w:pPr>
        <w:pStyle w:val="Caption"/>
        <w:keepNext/>
      </w:pPr>
      <w:r>
        <w:t xml:space="preserve">Table </w:t>
      </w:r>
      <w:r>
        <w:fldChar w:fldCharType="begin"/>
      </w:r>
      <w:r>
        <w:instrText xml:space="preserve"> SEQ Table \* ARABIC </w:instrText>
      </w:r>
      <w:r>
        <w:fldChar w:fldCharType="separate"/>
      </w:r>
      <w:r>
        <w:rPr>
          <w:noProof/>
        </w:rPr>
        <w:t>1</w:t>
      </w:r>
      <w:r>
        <w:fldChar w:fldCharType="end"/>
      </w:r>
      <w:r>
        <w:t>. Conservation concern assessment table for our AOI.</w:t>
      </w:r>
    </w:p>
    <w:p w14:paraId="3B400CA9" w14:textId="77777777" w:rsidR="000B51BB" w:rsidRPr="00DE791C" w:rsidRDefault="000B51BB" w:rsidP="000B51BB">
      <w:pPr>
        <w:pStyle w:val="BodyText"/>
        <w:rPr>
          <w:lang w:val="en-AU" w:eastAsia="en-US"/>
        </w:rPr>
      </w:pPr>
      <w:r w:rsidRPr="00A1526C">
        <w:rPr>
          <w:noProof/>
          <w:lang w:val="en-GB" w:eastAsia="en-US"/>
        </w:rPr>
        <w:drawing>
          <wp:inline distT="0" distB="0" distL="0" distR="0" wp14:anchorId="23CB570F" wp14:editId="4AD7A048">
            <wp:extent cx="5943600" cy="1945005"/>
            <wp:effectExtent l="0" t="0" r="0" b="0"/>
            <wp:docPr id="297901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45005"/>
                    </a:xfrm>
                    <a:prstGeom prst="rect">
                      <a:avLst/>
                    </a:prstGeom>
                    <a:noFill/>
                    <a:ln>
                      <a:noFill/>
                    </a:ln>
                  </pic:spPr>
                </pic:pic>
              </a:graphicData>
            </a:graphic>
          </wp:inline>
        </w:drawing>
      </w:r>
    </w:p>
    <w:p w14:paraId="2332711C" w14:textId="77777777" w:rsidR="000B51BB" w:rsidRDefault="000B51BB" w:rsidP="000B51BB">
      <w:pPr>
        <w:pStyle w:val="BodyText"/>
        <w:rPr>
          <w:lang w:val="en-GB" w:eastAsia="en-US"/>
        </w:rPr>
      </w:pPr>
    </w:p>
    <w:p w14:paraId="612A151D" w14:textId="77777777" w:rsidR="000B51BB" w:rsidRDefault="000B51BB" w:rsidP="000B51BB">
      <w:pPr>
        <w:pStyle w:val="BodyText"/>
        <w:spacing w:before="240" w:after="240"/>
        <w:rPr>
          <w:lang w:val="en-GB"/>
        </w:rPr>
      </w:pPr>
      <w:r>
        <w:rPr>
          <w:lang w:val="en-GB"/>
        </w:rPr>
        <w:t xml:space="preserve">In the calculation of the indexes, </w:t>
      </w:r>
      <w:bookmarkStart w:id="0" w:name="_Hlk160470177"/>
      <w:r>
        <w:rPr>
          <w:lang w:val="en-GB"/>
        </w:rPr>
        <w:t xml:space="preserve">the three levels of concern have been given weight scores, </w:t>
      </w:r>
      <m:oMath>
        <m:r>
          <w:rPr>
            <w:rFonts w:ascii="Cambria Math" w:hAnsi="Cambria Math"/>
            <w:lang w:val="en-GB"/>
          </w:rPr>
          <m:t>W</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m:rPr>
            <m:nor/>
          </m:rPr>
          <w:rPr>
            <w:lang w:val="en-GB"/>
          </w:rPr>
          <m:t>,</m:t>
        </m:r>
        <m:r>
          <m:rPr>
            <m:nor/>
          </m:rPr>
          <w:rPr>
            <w:rFonts w:ascii="Cambria Math"/>
            <w:lang w:val="en-GB"/>
          </w:rPr>
          <m:t xml:space="preserve"> </m:t>
        </m:r>
      </m:oMath>
      <w:r>
        <w:rPr>
          <w:lang w:val="en-GB"/>
        </w:rPr>
        <w:t>(</w:t>
      </w:r>
      <w:r w:rsidRPr="00A0449E">
        <w:rPr>
          <w:i/>
          <w:iCs/>
          <w:lang w:val="en-GB"/>
        </w:rPr>
        <w:t>W</w:t>
      </w:r>
      <w:r>
        <w:rPr>
          <w:lang w:val="en-GB"/>
        </w:rPr>
        <w:t xml:space="preserve">) to reflect their relative importance, </w:t>
      </w:r>
      <w:r w:rsidRPr="000C5A7A">
        <w:rPr>
          <w:lang w:val="en-GB"/>
        </w:rPr>
        <w:t>where:</w:t>
      </w:r>
    </w:p>
    <w:p w14:paraId="2678E07D" w14:textId="77777777" w:rsidR="000B51BB" w:rsidRDefault="000B51BB" w:rsidP="000B51BB">
      <w:pPr>
        <w:pStyle w:val="BodyText"/>
        <w:ind w:left="567"/>
        <w:rPr>
          <w:lang w:val="en-GB" w:eastAsia="en-US"/>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r>
          <w:rPr>
            <w:rFonts w:ascii="Cambria Math" w:hAnsi="Cambria Math"/>
            <w:lang w:val="en-GB"/>
          </w:rPr>
          <m:t>10</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w:rPr>
            <w:rFonts w:ascii="Cambria Math" w:hAnsi="Cambria Math"/>
            <w:lang w:val="en-GB"/>
          </w:rPr>
          <m:t>100.</m:t>
        </m:r>
      </m:oMath>
      <w:r w:rsidRPr="00C20D82">
        <w:rPr>
          <w:rFonts w:ascii="Cambria Math" w:hAnsi="Cambria Math"/>
          <w:lang w:val="en-GB"/>
        </w:rPr>
        <w:t xml:space="preserve"> </w:t>
      </w:r>
    </w:p>
    <w:bookmarkEnd w:id="0"/>
    <w:p w14:paraId="0648E4EB" w14:textId="77777777" w:rsidR="000B51BB" w:rsidRDefault="000B51BB" w:rsidP="000B51BB">
      <w:pPr>
        <w:rPr>
          <w:lang w:val="en-GB" w:eastAsia="en-US"/>
        </w:rPr>
      </w:pPr>
      <w:r>
        <w:rPr>
          <w:lang w:val="en-GB" w:eastAsia="en-US"/>
        </w:rPr>
        <w:t xml:space="preserve">Another important piece of information is that </w:t>
      </w:r>
      <w:r w:rsidRPr="00EC01DD">
        <w:rPr>
          <w:lang w:val="en-GB" w:eastAsia="en-US"/>
        </w:rPr>
        <w:t>the AOI overlaps with 70%, 10%, and 100% of the total areas of CF</w:t>
      </w:r>
      <w:r w:rsidRPr="00EC01DD">
        <w:rPr>
          <w:vertAlign w:val="subscript"/>
          <w:lang w:val="en-GB" w:eastAsia="en-US"/>
        </w:rPr>
        <w:t>1</w:t>
      </w:r>
      <w:r w:rsidRPr="00EC01DD">
        <w:rPr>
          <w:lang w:val="en-GB" w:eastAsia="en-US"/>
        </w:rPr>
        <w:t>, CF</w:t>
      </w:r>
      <w:r w:rsidRPr="00EC01DD">
        <w:rPr>
          <w:vertAlign w:val="subscript"/>
          <w:lang w:val="en-GB" w:eastAsia="en-US"/>
        </w:rPr>
        <w:t>2</w:t>
      </w:r>
      <w:r w:rsidRPr="00EC01DD">
        <w:rPr>
          <w:lang w:val="en-GB" w:eastAsia="en-US"/>
        </w:rPr>
        <w:t>, and CF</w:t>
      </w:r>
      <w:r w:rsidRPr="00EC01DD">
        <w:rPr>
          <w:vertAlign w:val="subscript"/>
          <w:lang w:val="en-GB" w:eastAsia="en-US"/>
        </w:rPr>
        <w:t>3</w:t>
      </w:r>
      <w:r>
        <w:rPr>
          <w:lang w:val="en-GB" w:eastAsia="en-US"/>
        </w:rPr>
        <w:t>, respectively.</w:t>
      </w:r>
      <w:r w:rsidRPr="00EC01DD">
        <w:rPr>
          <w:lang w:val="en-GB" w:eastAsia="en-US"/>
        </w:rPr>
        <w:t xml:space="preserve"> </w:t>
      </w:r>
    </w:p>
    <w:p w14:paraId="3582C61E" w14:textId="77777777" w:rsidR="000B51BB" w:rsidRPr="00EC01DD" w:rsidRDefault="000B51BB" w:rsidP="000B51BB">
      <w:pPr>
        <w:rPr>
          <w:lang w:val="en-GB" w:eastAsia="en-US"/>
        </w:rPr>
      </w:pPr>
      <w:r w:rsidRPr="00EC01DD">
        <w:rPr>
          <w:lang w:val="en-GB" w:eastAsia="en-US"/>
        </w:rPr>
        <w:t xml:space="preserve">Therefore, the </w:t>
      </w:r>
      <w:r w:rsidRPr="00EC01DD">
        <w:rPr>
          <w:i/>
          <w:iCs/>
          <w:lang w:val="en-GB" w:eastAsia="en-US"/>
        </w:rPr>
        <w:t>coverage,</w:t>
      </w:r>
      <w:r w:rsidRPr="00EC01DD">
        <w:rPr>
          <w:lang w:val="en-GB" w:eastAsia="en-US"/>
        </w:rPr>
        <w:t xml:space="preserve"> </w:t>
      </w:r>
      <m:oMath>
        <m:r>
          <w:rPr>
            <w:rFonts w:ascii="Cambria Math" w:hAnsi="Cambria Math"/>
            <w:lang w:val="en-GB"/>
          </w:rPr>
          <m:t>F</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3</m:t>
            </m:r>
          </m:sub>
        </m:sSub>
        <m:r>
          <m:rPr>
            <m:sty m:val="p"/>
          </m:rPr>
          <w:rPr>
            <w:rFonts w:ascii="Cambria Math" w:hAnsi="Cambria Math"/>
            <w:lang w:val="en-GB"/>
          </w:rPr>
          <m:t>}</m:t>
        </m:r>
      </m:oMath>
      <w:r w:rsidRPr="00EC01DD">
        <w:rPr>
          <w:lang w:val="en-GB" w:eastAsia="en-US"/>
        </w:rPr>
        <w:t>, of the CFs in the AOI are:</w:t>
      </w:r>
    </w:p>
    <w:p w14:paraId="74F72FF5" w14:textId="77777777" w:rsidR="000B51BB" w:rsidRPr="00656E30" w:rsidRDefault="000B51BB" w:rsidP="000B51BB">
      <w:pPr>
        <w:spacing w:before="240" w:after="240"/>
        <w:ind w:left="567"/>
        <w:rPr>
          <w:rFonts w:ascii="Cambria Math"/>
          <w:i/>
          <w:lang w:val="en-GB" w:eastAsia="ru-RU"/>
        </w:rPr>
      </w:pPr>
      <m:oMath>
        <m:sSub>
          <m:sSubPr>
            <m:ctrlPr>
              <w:rPr>
                <w:rFonts w:ascii="Cambria Math" w:hAnsi="Cambria Math"/>
                <w:i/>
                <w:lang w:val="en-GB" w:eastAsia="ru-RU"/>
              </w:rPr>
            </m:ctrlPr>
          </m:sSubPr>
          <m:e>
            <m:r>
              <w:rPr>
                <w:rFonts w:ascii="Cambria Math" w:hAnsi="Cambria Math"/>
                <w:lang w:val="en-GB" w:eastAsia="ru-RU"/>
              </w:rPr>
              <m:t>F</m:t>
            </m:r>
          </m:e>
          <m:sub>
            <m:r>
              <w:rPr>
                <w:rFonts w:ascii="Cambria Math" w:hAnsi="Cambria Math"/>
                <w:lang w:val="en-GB" w:eastAsia="ru-RU"/>
              </w:rPr>
              <m:t>1</m:t>
            </m:r>
          </m:sub>
        </m:sSub>
        <m:r>
          <m:rPr>
            <m:sty m:val="p"/>
          </m:rPr>
          <w:rPr>
            <w:rFonts w:ascii="Cambria Math" w:hAnsi="Cambria Math"/>
            <w:lang w:val="en-GB" w:eastAsia="ru-RU"/>
          </w:rPr>
          <m:t>=0.7</m:t>
        </m:r>
      </m:oMath>
      <w:r w:rsidRPr="00EC01DD">
        <w:rPr>
          <w:rFonts w:ascii="Cambria Math"/>
          <w:iCs/>
          <w:lang w:val="en-GB" w:eastAsia="ru-RU"/>
        </w:rPr>
        <w:t>,</w:t>
      </w:r>
      <w:r w:rsidRPr="00EC01DD">
        <w:rPr>
          <w:rFonts w:ascii="Cambria Math"/>
          <w:i/>
          <w:lang w:val="en-GB" w:eastAsia="ru-RU"/>
        </w:rPr>
        <w:t xml:space="preserve"> </w:t>
      </w:r>
      <m:oMath>
        <m:sSub>
          <m:sSubPr>
            <m:ctrlPr>
              <w:rPr>
                <w:rFonts w:ascii="Cambria Math" w:hAnsi="Cambria Math"/>
                <w:i/>
                <w:lang w:val="en-GB" w:eastAsia="ru-RU"/>
              </w:rPr>
            </m:ctrlPr>
          </m:sSubPr>
          <m:e>
            <m:r>
              <w:rPr>
                <w:rFonts w:ascii="Cambria Math"/>
                <w:lang w:val="en-GB" w:eastAsia="ru-RU"/>
              </w:rPr>
              <m:t>F</m:t>
            </m:r>
          </m:e>
          <m:sub>
            <m:r>
              <w:rPr>
                <w:rFonts w:ascii="Cambria Math"/>
                <w:lang w:val="en-GB" w:eastAsia="ru-RU"/>
              </w:rPr>
              <m:t>2</m:t>
            </m:r>
          </m:sub>
        </m:sSub>
        <m:r>
          <w:rPr>
            <w:rFonts w:ascii="Cambria Math"/>
            <w:lang w:val="en-GB" w:eastAsia="ru-RU"/>
          </w:rPr>
          <m:t>=0.1</m:t>
        </m:r>
      </m:oMath>
      <w:r w:rsidRPr="00EC01DD">
        <w:rPr>
          <w:lang w:val="en-GB" w:eastAsia="ru-RU"/>
        </w:rPr>
        <w:t xml:space="preserve">, and </w:t>
      </w:r>
      <m:oMath>
        <m:sSub>
          <m:sSubPr>
            <m:ctrlPr>
              <w:rPr>
                <w:rFonts w:ascii="Cambria Math" w:hAnsi="Cambria Math"/>
                <w:i/>
                <w:lang w:val="en-GB" w:eastAsia="ru-RU"/>
              </w:rPr>
            </m:ctrlPr>
          </m:sSubPr>
          <m:e>
            <m:r>
              <w:rPr>
                <w:rFonts w:ascii="Cambria Math"/>
                <w:lang w:val="en-GB" w:eastAsia="ru-RU"/>
              </w:rPr>
              <m:t>F</m:t>
            </m:r>
          </m:e>
          <m:sub>
            <m:r>
              <w:rPr>
                <w:rFonts w:ascii="Cambria Math"/>
                <w:lang w:val="en-GB" w:eastAsia="ru-RU"/>
              </w:rPr>
              <m:t>3</m:t>
            </m:r>
          </m:sub>
        </m:sSub>
        <m:r>
          <w:rPr>
            <w:rFonts w:ascii="Cambria Math"/>
            <w:lang w:val="en-GB" w:eastAsia="ru-RU"/>
          </w:rPr>
          <m:t>=1.0</m:t>
        </m:r>
      </m:oMath>
      <w:r w:rsidRPr="00EC01DD">
        <w:rPr>
          <w:lang w:val="en-GB" w:eastAsia="ru-RU"/>
        </w:rPr>
        <w:t>.</w:t>
      </w:r>
    </w:p>
    <w:p w14:paraId="49F7B9A6" w14:textId="77777777" w:rsidR="000B51BB" w:rsidRPr="000C5A7A" w:rsidRDefault="000B51BB" w:rsidP="000B51BB">
      <w:pPr>
        <w:pStyle w:val="BodyText"/>
        <w:rPr>
          <w:lang w:val="en-GB" w:eastAsia="en-US"/>
        </w:rPr>
      </w:pPr>
      <w:r>
        <w:rPr>
          <w:lang w:val="en-GB" w:eastAsia="en-US"/>
        </w:rPr>
        <w:t xml:space="preserve">Substituting these weights into Table 1 and adding a column for coverage, </w:t>
      </w:r>
      <w:r w:rsidRPr="00811890">
        <w:rPr>
          <w:i/>
          <w:iCs/>
          <w:lang w:val="en-GB" w:eastAsia="en-US"/>
        </w:rPr>
        <w:t>F</w:t>
      </w:r>
      <w:r>
        <w:rPr>
          <w:lang w:val="en-GB" w:eastAsia="en-US"/>
        </w:rPr>
        <w:t xml:space="preserve">, gives Tables 2 and 3 for </w:t>
      </w:r>
      <w:r w:rsidRPr="00811890">
        <w:rPr>
          <w:i/>
          <w:iCs/>
          <w:lang w:val="en-GB" w:eastAsia="en-US"/>
        </w:rPr>
        <w:t>MNSC</w:t>
      </w:r>
      <w:r>
        <w:rPr>
          <w:lang w:val="en-GB" w:eastAsia="en-US"/>
        </w:rPr>
        <w:t xml:space="preserve"> </w:t>
      </w:r>
      <w:r>
        <w:rPr>
          <w:lang w:val="en-GB"/>
        </w:rPr>
        <w:t xml:space="preserve">and </w:t>
      </w:r>
      <w:r w:rsidRPr="00811890">
        <w:rPr>
          <w:i/>
          <w:iCs/>
          <w:lang w:val="en-GB"/>
        </w:rPr>
        <w:t>SC</w:t>
      </w:r>
      <w:r>
        <w:rPr>
          <w:lang w:val="en-GB"/>
        </w:rPr>
        <w:t>, respectively.</w:t>
      </w:r>
    </w:p>
    <w:p w14:paraId="3F99E1A8" w14:textId="77777777" w:rsidR="000B51BB" w:rsidRPr="0041792D" w:rsidRDefault="000B51BB" w:rsidP="000B51BB">
      <w:pPr>
        <w:pStyle w:val="Caption"/>
        <w:keepNext/>
      </w:pPr>
      <w:r w:rsidRPr="0041792D">
        <w:t xml:space="preserve">Table </w:t>
      </w:r>
      <w:r w:rsidRPr="0041792D">
        <w:fldChar w:fldCharType="begin"/>
      </w:r>
      <w:r w:rsidRPr="0041792D">
        <w:instrText xml:space="preserve"> SEQ Table \* ARABIC </w:instrText>
      </w:r>
      <w:r w:rsidRPr="0041792D">
        <w:fldChar w:fldCharType="separate"/>
      </w:r>
      <w:r>
        <w:rPr>
          <w:noProof/>
        </w:rPr>
        <w:t>2</w:t>
      </w:r>
      <w:r w:rsidRPr="0041792D">
        <w:fldChar w:fldCharType="end"/>
      </w:r>
      <w:r>
        <w:t>. Conservation concern assessment table with MNSC weights.</w:t>
      </w:r>
      <w:r w:rsidRPr="0041792D">
        <w:t xml:space="preserve"> </w:t>
      </w:r>
    </w:p>
    <w:p w14:paraId="0D72C765" w14:textId="77777777" w:rsidR="000B51BB" w:rsidRPr="000C5A7A" w:rsidRDefault="000B51BB" w:rsidP="000B51BB">
      <w:pPr>
        <w:pStyle w:val="BodyText"/>
        <w:rPr>
          <w:lang w:val="en-GB" w:eastAsia="en-US"/>
        </w:rPr>
      </w:pPr>
      <w:r w:rsidRPr="00A36374">
        <w:rPr>
          <w:noProof/>
          <w:lang w:val="en-GB" w:eastAsia="en-US"/>
        </w:rPr>
        <w:drawing>
          <wp:inline distT="0" distB="0" distL="0" distR="0" wp14:anchorId="4D2CCF16" wp14:editId="4B114C2B">
            <wp:extent cx="5943600" cy="1880235"/>
            <wp:effectExtent l="0" t="0" r="0" b="5715"/>
            <wp:docPr id="16623376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07582D9C" w14:textId="77777777" w:rsidR="000B51BB" w:rsidRDefault="000B51BB" w:rsidP="000B51BB">
      <w:pPr>
        <w:pStyle w:val="BodyText"/>
        <w:rPr>
          <w:lang w:val="en-GB" w:eastAsia="en-US"/>
        </w:rPr>
      </w:pPr>
    </w:p>
    <w:p w14:paraId="5CDA6AD3" w14:textId="77777777" w:rsidR="000B51BB" w:rsidRDefault="000B51BB" w:rsidP="000B51B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w:t>
      </w:r>
      <w:r w:rsidRPr="00811890">
        <w:t xml:space="preserve"> Conservation concern assessment table </w:t>
      </w:r>
      <w:r>
        <w:t>with</w:t>
      </w:r>
      <w:r w:rsidRPr="00811890">
        <w:t xml:space="preserve"> SC</w:t>
      </w:r>
      <w:r>
        <w:t xml:space="preserve"> weights</w:t>
      </w:r>
      <w:r w:rsidRPr="00811890">
        <w:t>.</w:t>
      </w:r>
    </w:p>
    <w:p w14:paraId="4241007C" w14:textId="77777777" w:rsidR="000B51BB" w:rsidRPr="000C5A7A" w:rsidRDefault="000B51BB" w:rsidP="000B51BB">
      <w:pPr>
        <w:pStyle w:val="BodyText"/>
        <w:rPr>
          <w:lang w:val="en-GB" w:eastAsia="en-US"/>
        </w:rPr>
      </w:pPr>
      <w:r w:rsidRPr="00A36374">
        <w:rPr>
          <w:noProof/>
          <w:lang w:val="en-GB" w:eastAsia="en-US"/>
        </w:rPr>
        <w:drawing>
          <wp:inline distT="0" distB="0" distL="0" distR="0" wp14:anchorId="71A3EAE7" wp14:editId="3877A597">
            <wp:extent cx="5943600" cy="1880235"/>
            <wp:effectExtent l="0" t="0" r="0" b="5715"/>
            <wp:docPr id="20638401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52BC7B19" w14:textId="77777777" w:rsidR="000B51BB" w:rsidRDefault="000B51BB" w:rsidP="000B51BB">
      <w:pPr>
        <w:pStyle w:val="BodyText"/>
        <w:rPr>
          <w:lang w:val="en-GB" w:eastAsia="en-US"/>
        </w:rPr>
      </w:pPr>
    </w:p>
    <w:p w14:paraId="7597F6C0" w14:textId="77777777" w:rsidR="000B51BB" w:rsidRDefault="000B51BB" w:rsidP="000B51BB">
      <w:pPr>
        <w:pStyle w:val="BodyText"/>
        <w:rPr>
          <w:lang w:val="en-GB" w:eastAsia="en-US"/>
        </w:rPr>
      </w:pPr>
    </w:p>
    <w:p w14:paraId="61E211E5" w14:textId="77777777" w:rsidR="000B51BB" w:rsidRPr="000C5A7A" w:rsidRDefault="000B51BB" w:rsidP="000B51BB">
      <w:pPr>
        <w:pStyle w:val="Heading4"/>
        <w:rPr>
          <w:lang w:val="en-GB"/>
        </w:rPr>
      </w:pPr>
      <w:r w:rsidRPr="000C5A7A">
        <w:rPr>
          <w:lang w:val="en-GB"/>
        </w:rPr>
        <w:t>Conservation Action Priority related indexes</w:t>
      </w:r>
    </w:p>
    <w:p w14:paraId="2AC30648" w14:textId="77777777" w:rsidR="000B51BB" w:rsidRDefault="000B51BB" w:rsidP="000B51BB">
      <w:pPr>
        <w:pStyle w:val="BodyText"/>
        <w:rPr>
          <w:b/>
          <w:bCs/>
          <w:lang w:val="en-GB" w:eastAsia="en-US"/>
        </w:rPr>
      </w:pPr>
    </w:p>
    <w:p w14:paraId="7B2790B9" w14:textId="77777777" w:rsidR="000B51BB" w:rsidRDefault="000B51BB" w:rsidP="000B51BB">
      <w:pPr>
        <w:pStyle w:val="BodyText"/>
        <w:rPr>
          <w:b/>
          <w:bCs/>
          <w:lang w:val="en-GB" w:eastAsia="en-US"/>
        </w:rPr>
      </w:pPr>
    </w:p>
    <w:p w14:paraId="5A5F22AB" w14:textId="77777777" w:rsidR="000B51BB" w:rsidRDefault="000B51BB" w:rsidP="000B51BB">
      <w:pPr>
        <w:pStyle w:val="BodyText"/>
        <w:rPr>
          <w:b/>
          <w:bCs/>
          <w:lang w:val="en-GB" w:eastAsia="en-US"/>
        </w:rPr>
      </w:pPr>
    </w:p>
    <w:p w14:paraId="3E82A3CE" w14:textId="77777777" w:rsidR="000B51BB" w:rsidRDefault="000B51BB" w:rsidP="000B51BB">
      <w:pPr>
        <w:pStyle w:val="BodyText"/>
        <w:rPr>
          <w:b/>
          <w:bCs/>
          <w:lang w:val="en-GB" w:eastAsia="en-US"/>
        </w:rPr>
      </w:pPr>
    </w:p>
    <w:p w14:paraId="38D558A1" w14:textId="0EC1DE87" w:rsidR="000B51BB" w:rsidRPr="000C5A7A" w:rsidRDefault="000B51BB" w:rsidP="000B51BB">
      <w:pPr>
        <w:pStyle w:val="BodyText"/>
        <w:rPr>
          <w:b/>
          <w:bCs/>
          <w:lang w:val="en-GB" w:eastAsia="en-US"/>
        </w:rPr>
      </w:pPr>
      <w:r w:rsidRPr="000C5A7A">
        <w:rPr>
          <w:b/>
          <w:bCs/>
          <w:lang w:val="en-GB" w:eastAsia="en-US"/>
        </w:rPr>
        <w:t>AAR:</w:t>
      </w:r>
    </w:p>
    <w:p w14:paraId="6BB5FB8B" w14:textId="77777777" w:rsidR="000B51BB" w:rsidRPr="000C5A7A" w:rsidRDefault="000B51BB" w:rsidP="000B51BB">
      <w:pPr>
        <w:pStyle w:val="FirstParagraph"/>
        <w:rPr>
          <w:lang w:val="en-GB"/>
        </w:rPr>
      </w:pPr>
      <m:oMathPara>
        <m:oMathParaPr>
          <m:jc m:val="center"/>
        </m:oMathParaPr>
        <m:oMath>
          <m:r>
            <w:rPr>
              <w:rFonts w:ascii="Cambria Math" w:hAnsi="Cambria Math"/>
              <w:lang w:val="en-GB"/>
            </w:rPr>
            <m:t>AA</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oMath>
      </m:oMathPara>
    </w:p>
    <w:p w14:paraId="3F7FE248" w14:textId="77777777" w:rsidR="000B51BB" w:rsidRPr="000C5A7A" w:rsidRDefault="000B51BB" w:rsidP="000B51BB">
      <w:pPr>
        <w:pStyle w:val="FirstParagraph"/>
        <w:rPr>
          <w:lang w:val="en-GB"/>
        </w:rPr>
      </w:pPr>
      <m:oMathPara>
        <m:oMathParaPr>
          <m:jc m:val="center"/>
        </m:oMathParaPr>
        <m:oMath>
          <m:r>
            <w:rPr>
              <w:rFonts w:ascii="Cambria Math" w:hAnsi="Cambria Math"/>
              <w:lang w:val="en-GB"/>
            </w:rPr>
            <m:t>AAR</m:t>
          </m:r>
          <m:r>
            <m:rPr>
              <m:sty m:val="p"/>
            </m:rPr>
            <w:rPr>
              <w:rFonts w:ascii="Cambria Math" w:hAnsi="Cambria Math"/>
              <w:lang w:val="en-GB"/>
            </w:rPr>
            <m:t>=</m:t>
          </m:r>
          <m:f>
            <m:fPr>
              <m:ctrlPr>
                <w:rPr>
                  <w:rFonts w:ascii="Cambria Math" w:hAnsi="Cambria Math"/>
                  <w:lang w:val="en-GB"/>
                </w:rPr>
              </m:ctrlPr>
            </m:fPr>
            <m:num>
              <m:acc>
                <m:accPr>
                  <m:ctrlPr>
                    <w:rPr>
                      <w:rFonts w:ascii="Cambria Math" w:hAnsi="Cambria Math"/>
                      <w:lang w:val="en-GB"/>
                    </w:rPr>
                  </m:ctrlPr>
                </m:accPr>
                <m:e>
                  <m:r>
                    <w:rPr>
                      <w:rFonts w:ascii="Cambria Math" w:hAnsi="Cambria Math"/>
                      <w:lang w:val="en-GB"/>
                    </w:rPr>
                    <m:t>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selection</m:t>
                      </m:r>
                    </m:sub>
                  </m:sSub>
                </m:e>
              </m:acc>
            </m:num>
            <m:den>
              <m:acc>
                <m:accPr>
                  <m:ctrlPr>
                    <w:rPr>
                      <w:rFonts w:ascii="Cambria Math" w:hAnsi="Cambria Math"/>
                      <w:lang w:val="en-GB"/>
                    </w:rPr>
                  </m:ctrlPr>
                </m:accPr>
                <m:e>
                  <m:r>
                    <w:rPr>
                      <w:rFonts w:ascii="Cambria Math" w:hAnsi="Cambria Math"/>
                      <w:lang w:val="en-GB"/>
                    </w:rPr>
                    <m:t>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domain</m:t>
                      </m:r>
                    </m:sub>
                  </m:sSub>
                </m:e>
              </m:acc>
            </m:den>
          </m:f>
          <m:r>
            <m:rPr>
              <m:sty m:val="p"/>
            </m:rPr>
            <w:rPr>
              <w:rFonts w:ascii="Cambria Math" w:hAnsi="Cambria Math"/>
              <w:lang w:val="en-GB"/>
            </w:rPr>
            <m:t>,</m:t>
          </m:r>
        </m:oMath>
      </m:oMathPara>
    </w:p>
    <w:p w14:paraId="2818B575" w14:textId="77777777" w:rsidR="000B51BB" w:rsidRPr="000C5A7A" w:rsidRDefault="000B51BB" w:rsidP="000B51BB">
      <w:pPr>
        <w:pStyle w:val="FirstParagraph"/>
        <w:rPr>
          <w:rFonts w:asciiTheme="majorHAnsi" w:hAnsiTheme="majorHAnsi" w:cstheme="majorHAnsi"/>
          <w:lang w:val="en-GB"/>
        </w:rPr>
      </w:pPr>
      <w:r w:rsidRPr="000C5A7A">
        <w:rPr>
          <w:rFonts w:asciiTheme="majorHAnsi" w:hAnsiTheme="majorHAnsi" w:cstheme="majorHAnsi"/>
          <w:lang w:val="en-GB"/>
        </w:rPr>
        <w:t xml:space="preserve">where </w:t>
      </w:r>
      <m:oMath>
        <m:acc>
          <m:accPr>
            <m:ctrlPr>
              <w:rPr>
                <w:rFonts w:ascii="Cambria Math" w:hAnsi="Cambria Math" w:cstheme="majorHAnsi"/>
                <w:lang w:val="en-GB"/>
              </w:rPr>
            </m:ctrlPr>
          </m:accPr>
          <m:e>
            <m:r>
              <w:rPr>
                <w:rFonts w:ascii="Cambria Math" w:hAnsi="Cambria Math" w:cstheme="majorHAnsi"/>
                <w:lang w:val="en-GB"/>
              </w:rPr>
              <m:t>AA</m:t>
            </m:r>
          </m:e>
        </m:acc>
      </m:oMath>
      <w:r w:rsidRPr="000C5A7A">
        <w:rPr>
          <w:rFonts w:asciiTheme="majorHAnsi" w:hAnsiTheme="majorHAnsi" w:cstheme="majorHAnsi"/>
          <w:lang w:val="en-GB"/>
        </w:rPr>
        <w:t xml:space="preserve"> is mean </w:t>
      </w:r>
      <m:oMath>
        <m:r>
          <w:rPr>
            <w:rFonts w:ascii="Cambria Math" w:hAnsi="Cambria Math" w:cstheme="majorHAnsi"/>
            <w:lang w:val="en-GB"/>
          </w:rPr>
          <m:t>AA</m:t>
        </m:r>
      </m:oMath>
      <w:r w:rsidRPr="000C5A7A">
        <w:rPr>
          <w:rFonts w:asciiTheme="majorHAnsi" w:hAnsiTheme="majorHAnsi" w:cstheme="majorHAnsi"/>
          <w:lang w:val="en-GB"/>
        </w:rPr>
        <w:t xml:space="preserve">-value per region, </w:t>
      </w:r>
      <w:proofErr w:type="spellStart"/>
      <w:r w:rsidRPr="000C5A7A">
        <w:rPr>
          <w:rFonts w:asciiTheme="majorHAnsi" w:hAnsiTheme="majorHAnsi" w:cstheme="majorHAnsi"/>
          <w:i/>
          <w:iCs/>
          <w:lang w:val="en-GB"/>
        </w:rPr>
        <w:t>i</w:t>
      </w:r>
      <w:proofErr w:type="spellEnd"/>
      <w:r w:rsidRPr="000C5A7A">
        <w:rPr>
          <w:rFonts w:asciiTheme="majorHAnsi" w:hAnsiTheme="majorHAnsi" w:cstheme="majorHAnsi"/>
          <w:i/>
          <w:iCs/>
          <w:lang w:val="en-GB"/>
        </w:rPr>
        <w:t>. e.</w:t>
      </w:r>
      <w:r w:rsidRPr="000C5A7A">
        <w:rPr>
          <w:rFonts w:asciiTheme="majorHAnsi" w:hAnsiTheme="majorHAnsi" w:cstheme="majorHAnsi"/>
          <w:lang w:val="en-GB"/>
        </w:rPr>
        <w:t xml:space="preserve">, mean value of all PUs inside selected area or inside </w:t>
      </w:r>
      <w:proofErr w:type="spellStart"/>
      <w:r w:rsidRPr="000C5A7A">
        <w:rPr>
          <w:rFonts w:asciiTheme="majorHAnsi" w:hAnsiTheme="majorHAnsi" w:cstheme="majorHAnsi"/>
          <w:lang w:val="en-GB"/>
        </w:rPr>
        <w:t>ArcNet</w:t>
      </w:r>
      <w:proofErr w:type="spellEnd"/>
      <w:r w:rsidRPr="000C5A7A">
        <w:rPr>
          <w:rFonts w:asciiTheme="majorHAnsi" w:hAnsiTheme="majorHAnsi" w:cstheme="majorHAnsi"/>
          <w:lang w:val="en-GB"/>
        </w:rPr>
        <w:t xml:space="preserve"> domain.</w:t>
      </w:r>
    </w:p>
    <w:p w14:paraId="56F6000D" w14:textId="77777777" w:rsidR="000B51BB" w:rsidRPr="000C5A7A" w:rsidRDefault="000B51BB" w:rsidP="000B51BB">
      <w:pPr>
        <w:pStyle w:val="BodyText"/>
        <w:rPr>
          <w:rFonts w:asciiTheme="majorHAnsi" w:hAnsiTheme="majorHAnsi" w:cstheme="majorHAnsi"/>
          <w:lang w:val="en-GB" w:eastAsia="en-US"/>
        </w:rPr>
      </w:pPr>
      <w:r w:rsidRPr="000C5A7A">
        <w:rPr>
          <w:rFonts w:asciiTheme="majorHAnsi" w:hAnsiTheme="majorHAnsi" w:cstheme="majorHAnsi"/>
          <w:lang w:val="en-GB" w:eastAsia="en-US"/>
        </w:rPr>
        <w:t>Let’s say it is only A</w:t>
      </w:r>
      <w:r w:rsidRPr="000C5A7A">
        <w:rPr>
          <w:rFonts w:asciiTheme="majorHAnsi" w:hAnsiTheme="majorHAnsi" w:cstheme="majorHAnsi"/>
          <w:vertAlign w:val="subscript"/>
          <w:lang w:val="en-GB" w:eastAsia="en-US"/>
        </w:rPr>
        <w:t xml:space="preserve">1 </w:t>
      </w:r>
      <w:r w:rsidRPr="000C5A7A">
        <w:rPr>
          <w:rFonts w:asciiTheme="majorHAnsi" w:hAnsiTheme="majorHAnsi" w:cstheme="majorHAnsi"/>
          <w:lang w:val="en-GB" w:eastAsia="en-US"/>
        </w:rPr>
        <w:t>is present in AOI, its amount within AOI is 0.5, then:</w:t>
      </w:r>
    </w:p>
    <w:p w14:paraId="366CD58E" w14:textId="77777777" w:rsidR="000B51BB" w:rsidRPr="000C5A7A" w:rsidRDefault="000B51BB" w:rsidP="000B51BB">
      <w:pPr>
        <w:pStyle w:val="BodyText"/>
        <w:rPr>
          <w:rFonts w:asciiTheme="majorHAnsi" w:hAnsiTheme="majorHAnsi" w:cstheme="majorHAnsi"/>
          <w:lang w:val="en-GB" w:eastAsia="en-US"/>
        </w:rPr>
      </w:pPr>
      <w:r w:rsidRPr="000C5A7A">
        <w:rPr>
          <w:rFonts w:asciiTheme="majorHAnsi" w:hAnsiTheme="majorHAnsi" w:cstheme="majorHAnsi"/>
          <w:lang w:val="en-GB" w:eastAsia="en-US"/>
        </w:rPr>
        <w:t>AA = 0.5 + 0 + 0 = 0.5,</w:t>
      </w:r>
    </w:p>
    <w:p w14:paraId="08497278" w14:textId="77777777" w:rsidR="000B51BB" w:rsidRPr="000C5A7A" w:rsidRDefault="000B51BB" w:rsidP="000B51BB">
      <w:pPr>
        <w:pStyle w:val="BodyText"/>
        <w:rPr>
          <w:rFonts w:asciiTheme="majorHAnsi" w:hAnsiTheme="majorHAnsi" w:cstheme="majorHAnsi"/>
          <w:lang w:val="en-GB" w:eastAsia="en-US"/>
        </w:rPr>
      </w:pPr>
      <w:r w:rsidRPr="000C5A7A">
        <w:rPr>
          <w:rFonts w:asciiTheme="majorHAnsi" w:hAnsiTheme="majorHAnsi" w:cstheme="majorHAnsi"/>
          <w:lang w:val="en-GB" w:eastAsia="en-US"/>
        </w:rPr>
        <w:t>AAR = 0.5/ 10 = 0.05</w:t>
      </w:r>
    </w:p>
    <w:p w14:paraId="04B91CD2" w14:textId="77777777" w:rsidR="000B51BB" w:rsidRPr="000C5A7A" w:rsidRDefault="000B51BB" w:rsidP="000B51BB">
      <w:pPr>
        <w:pStyle w:val="BodyText"/>
        <w:rPr>
          <w:rFonts w:asciiTheme="majorHAnsi" w:hAnsiTheme="majorHAnsi" w:cstheme="majorHAnsi"/>
          <w:lang w:val="en-GB" w:eastAsia="en-US"/>
        </w:rPr>
      </w:pPr>
    </w:p>
    <w:p w14:paraId="4C9352BF" w14:textId="77777777" w:rsidR="000B51BB" w:rsidRPr="000C5A7A" w:rsidRDefault="000B51BB" w:rsidP="000B51BB">
      <w:pPr>
        <w:pStyle w:val="BodyText"/>
        <w:rPr>
          <w:b/>
          <w:bCs/>
          <w:lang w:val="en-GB" w:eastAsia="en-US"/>
        </w:rPr>
      </w:pPr>
      <w:r w:rsidRPr="000C5A7A">
        <w:rPr>
          <w:b/>
          <w:bCs/>
          <w:lang w:val="en-GB" w:eastAsia="en-US"/>
        </w:rPr>
        <w:t>CAPR:</w:t>
      </w:r>
    </w:p>
    <w:p w14:paraId="4ADA348A" w14:textId="77777777" w:rsidR="000B51BB" w:rsidRPr="000C5A7A" w:rsidRDefault="000B51BB" w:rsidP="000B51BB">
      <w:pPr>
        <w:pStyle w:val="FirstParagraph"/>
        <w:rPr>
          <w:lang w:val="en-GB"/>
        </w:rPr>
      </w:pPr>
      <w:r w:rsidRPr="000C5A7A">
        <w:rPr>
          <w:rFonts w:asciiTheme="majorHAnsi" w:hAnsiTheme="majorHAnsi" w:cstheme="majorHAnsi"/>
          <w:lang w:val="en-GB"/>
        </w:rPr>
        <w:t>Absolute</w:t>
      </w:r>
      <w:r w:rsidRPr="000C5A7A">
        <w:rPr>
          <w:lang w:val="en-GB"/>
        </w:rPr>
        <w:t>:</w:t>
      </w:r>
    </w:p>
    <w:p w14:paraId="301E7317" w14:textId="77777777" w:rsidR="000B51BB" w:rsidRPr="000C5A7A" w:rsidRDefault="000B51BB" w:rsidP="000B51BB">
      <w:pPr>
        <w:pStyle w:val="BodyText"/>
        <w:rPr>
          <w:lang w:val="en-GB"/>
        </w:rPr>
      </w:pPr>
      <m:oMathPara>
        <m:oMathParaPr>
          <m:jc m:val="center"/>
        </m:oMathParaPr>
        <m:oMath>
          <m:r>
            <w:rPr>
              <w:rFonts w:ascii="Cambria Math" w:hAnsi="Cambria Math"/>
              <w:lang w:val="en-GB"/>
            </w:rPr>
            <m:t>CAA</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d>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MN</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oMath>
      </m:oMathPara>
    </w:p>
    <w:p w14:paraId="1B3214D8" w14:textId="77777777" w:rsidR="000B51BB" w:rsidRPr="000C5A7A" w:rsidRDefault="000B51BB" w:rsidP="000B51BB">
      <w:pPr>
        <w:pStyle w:val="BodyText"/>
        <w:rPr>
          <w:lang w:val="en-GB"/>
        </w:rPr>
      </w:pPr>
    </w:p>
    <w:p w14:paraId="6B5673FD" w14:textId="77777777" w:rsidR="000B51BB" w:rsidRPr="000C5A7A" w:rsidRDefault="000B51BB" w:rsidP="000B51BB">
      <w:pPr>
        <w:pStyle w:val="BodyText"/>
        <w:rPr>
          <w:lang w:val="en-GB"/>
        </w:rPr>
      </w:pPr>
      <w:r w:rsidRPr="000C5A7A">
        <w:rPr>
          <w:lang w:val="en-GB"/>
        </w:rPr>
        <w:lastRenderedPageBreak/>
        <w:t>CAA = 0.5*</w:t>
      </w:r>
      <w:r w:rsidRPr="000C5A7A">
        <w:rPr>
          <w:sz w:val="20"/>
          <w:szCs w:val="20"/>
          <w:lang w:val="en-GB" w:eastAsia="en-US"/>
        </w:rPr>
        <w:t>(((12*100) +(9*10+3*100) +(12*10)) *0.7) + 0* (((12*10) +(12*</w:t>
      </w:r>
      <w:proofErr w:type="gramStart"/>
      <w:r w:rsidRPr="000C5A7A">
        <w:rPr>
          <w:sz w:val="20"/>
          <w:szCs w:val="20"/>
          <w:lang w:val="en-GB" w:eastAsia="en-US"/>
        </w:rPr>
        <w:t>10)+(</w:t>
      </w:r>
      <w:proofErr w:type="gramEnd"/>
      <w:r w:rsidRPr="000C5A7A">
        <w:rPr>
          <w:sz w:val="20"/>
          <w:szCs w:val="20"/>
          <w:lang w:val="en-GB" w:eastAsia="en-US"/>
        </w:rPr>
        <w:t>12*1))*0.1)+ 0* (((12*1)+(3*10+9*1)+(12*1))*1) = 598.5</w:t>
      </w:r>
    </w:p>
    <w:p w14:paraId="6EACA2B9" w14:textId="77777777" w:rsidR="000B51BB" w:rsidRPr="000C5A7A" w:rsidRDefault="000B51BB" w:rsidP="000B51BB">
      <w:pPr>
        <w:pStyle w:val="FirstParagraph"/>
        <w:rPr>
          <w:lang w:val="en-GB"/>
        </w:rPr>
      </w:pPr>
      <w:r w:rsidRPr="000C5A7A">
        <w:rPr>
          <w:rFonts w:asciiTheme="majorHAnsi" w:hAnsiTheme="majorHAnsi" w:cstheme="majorHAnsi"/>
          <w:lang w:val="en-GB"/>
        </w:rPr>
        <w:t>Relative</w:t>
      </w:r>
      <w:r w:rsidRPr="000C5A7A">
        <w:rPr>
          <w:lang w:val="en-GB"/>
        </w:rPr>
        <w:t>:</w:t>
      </w:r>
    </w:p>
    <w:p w14:paraId="6FEB901C" w14:textId="77777777" w:rsidR="000B51BB" w:rsidRPr="000C5A7A" w:rsidRDefault="000B51BB" w:rsidP="000B51BB">
      <w:pPr>
        <w:pStyle w:val="BodyText"/>
        <w:rPr>
          <w:lang w:val="en-GB"/>
        </w:rPr>
      </w:pPr>
      <m:oMathPara>
        <m:oMathParaPr>
          <m:jc m:val="center"/>
        </m:oMathParaPr>
        <m:oMath>
          <m:r>
            <w:rPr>
              <w:rFonts w:ascii="Cambria Math" w:hAnsi="Cambria Math"/>
              <w:lang w:val="en-GB"/>
            </w:rPr>
            <m:t>CAPR</m:t>
          </m:r>
          <m:r>
            <m:rPr>
              <m:sty m:val="p"/>
            </m:rPr>
            <w:rPr>
              <w:rFonts w:ascii="Cambria Math" w:hAnsi="Cambria Math"/>
              <w:lang w:val="en-GB"/>
            </w:rPr>
            <m:t>=</m:t>
          </m:r>
          <m:f>
            <m:fPr>
              <m:ctrlPr>
                <w:rPr>
                  <w:rFonts w:ascii="Cambria Math" w:hAnsi="Cambria Math"/>
                  <w:lang w:val="en-GB"/>
                </w:rPr>
              </m:ctrlPr>
            </m:fPr>
            <m:num>
              <m:f>
                <m:fPr>
                  <m:ctrlPr>
                    <w:rPr>
                      <w:rFonts w:ascii="Cambria Math" w:hAnsi="Cambria Math"/>
                      <w:i/>
                      <w:lang w:val="en-GB"/>
                    </w:rPr>
                  </m:ctrlPr>
                </m:fPr>
                <m:num>
                  <m:r>
                    <w:rPr>
                      <w:rFonts w:ascii="Cambria Math" w:hAnsi="Cambria Math"/>
                      <w:lang w:val="en-GB"/>
                    </w:rPr>
                    <m:t>CAA</m:t>
                  </m:r>
                </m:num>
                <m:den>
                  <m:r>
                    <w:rPr>
                      <w:rFonts w:ascii="Cambria Math" w:hAnsi="Cambria Math"/>
                      <w:lang w:val="en-GB"/>
                    </w:rPr>
                    <m:t>U</m:t>
                  </m:r>
                </m:den>
              </m:f>
            </m:num>
            <m:den>
              <m:f>
                <m:fPr>
                  <m:ctrlPr>
                    <w:rPr>
                      <w:rFonts w:ascii="Cambria Math" w:hAnsi="Cambria Math"/>
                      <w:i/>
                      <w:lang w:val="en-GB"/>
                    </w:rPr>
                  </m:ctrlPr>
                </m:fPr>
                <m:num>
                  <m:r>
                    <w:rPr>
                      <w:rFonts w:ascii="Cambria Math" w:hAnsi="Cambria Math"/>
                      <w:lang w:val="en-GB"/>
                    </w:rPr>
                    <m:t>CA</m:t>
                  </m:r>
                  <m:sSub>
                    <m:sSubPr>
                      <m:ctrlPr>
                        <w:rPr>
                          <w:rFonts w:ascii="Cambria Math" w:hAnsi="Cambria Math"/>
                          <w:lang w:val="en-GB"/>
                        </w:rPr>
                      </m:ctrlPr>
                    </m:sSubPr>
                    <m:e>
                      <m:r>
                        <w:rPr>
                          <w:rFonts w:ascii="Cambria Math" w:hAnsi="Cambria Math"/>
                          <w:lang w:val="en-GB"/>
                        </w:rPr>
                        <m:t>A</m:t>
                      </m:r>
                    </m:e>
                    <m:sub>
                      <w:bookmarkStart w:id="1" w:name="_Hlk160032506"/>
                      <m:r>
                        <w:rPr>
                          <w:rFonts w:ascii="Cambria Math" w:hAnsi="Cambria Math"/>
                          <w:lang w:val="en-GB"/>
                        </w:rPr>
                        <m:t>0</m:t>
                      </m:r>
                      <w:bookmarkEnd w:id="1"/>
                    </m:sub>
                  </m:sSub>
                </m:num>
                <m:den>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den>
              </m:f>
            </m:den>
          </m:f>
          <m:r>
            <m:rPr>
              <m:sty m:val="p"/>
            </m:rPr>
            <w:rPr>
              <w:rFonts w:ascii="Cambria Math" w:hAnsi="Cambria Math"/>
              <w:lang w:val="en-GB"/>
            </w:rPr>
            <m:t>,</m:t>
          </m:r>
        </m:oMath>
      </m:oMathPara>
    </w:p>
    <w:p w14:paraId="3B047A95" w14:textId="77777777" w:rsidR="000B51BB" w:rsidRPr="000C5A7A" w:rsidRDefault="000B51BB" w:rsidP="000B51BB">
      <w:pPr>
        <w:spacing w:before="240" w:after="240"/>
        <w:rPr>
          <w:rFonts w:asciiTheme="majorHAnsi" w:hAnsiTheme="majorHAnsi" w:cstheme="majorHAnsi"/>
          <w:lang w:val="en-GB"/>
        </w:rPr>
      </w:pPr>
      <w:r w:rsidRPr="000C5A7A">
        <w:rPr>
          <w:rFonts w:asciiTheme="majorHAnsi" w:hAnsiTheme="majorHAnsi" w:cstheme="majorHAnsi"/>
          <w:lang w:val="en-GB"/>
        </w:rPr>
        <w:t>where</w:t>
      </w:r>
      <w:r w:rsidRPr="000C5A7A">
        <w:rPr>
          <w:lang w:val="en-GB"/>
        </w:rPr>
        <w:t xml:space="preserve"> </w:t>
      </w:r>
      <m:oMath>
        <m:r>
          <w:rPr>
            <w:rFonts w:ascii="Cambria Math" w:hAnsi="Cambria Math"/>
            <w:lang w:val="en-GB"/>
          </w:rPr>
          <m:t>CA</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0</m:t>
            </m:r>
          </m:sub>
        </m:sSub>
      </m:oMath>
      <w:r w:rsidRPr="000C5A7A">
        <w:rPr>
          <w:lang w:val="en-GB"/>
        </w:rPr>
        <w:t xml:space="preserve"> </w:t>
      </w:r>
      <w:r w:rsidRPr="000C5A7A">
        <w:rPr>
          <w:rFonts w:asciiTheme="majorHAnsi" w:hAnsiTheme="majorHAnsi" w:cstheme="majorHAnsi"/>
          <w:lang w:val="en-GB"/>
        </w:rPr>
        <w:t xml:space="preserve">is </w:t>
      </w:r>
      <m:oMath>
        <m:r>
          <w:rPr>
            <w:rFonts w:ascii="Cambria Math" w:hAnsi="Cambria Math"/>
            <w:lang w:val="en-GB"/>
          </w:rPr>
          <m:t>CAA</m:t>
        </m:r>
      </m:oMath>
      <w:r w:rsidRPr="000C5A7A">
        <w:rPr>
          <w:lang w:val="en-GB"/>
        </w:rPr>
        <w:t xml:space="preserve"> for </w:t>
      </w:r>
      <w:proofErr w:type="spellStart"/>
      <w:r w:rsidRPr="000C5A7A">
        <w:rPr>
          <w:rFonts w:asciiTheme="majorHAnsi" w:hAnsiTheme="majorHAnsi" w:cstheme="majorHAnsi"/>
          <w:lang w:val="en-GB"/>
        </w:rPr>
        <w:t>ArcNet</w:t>
      </w:r>
      <w:proofErr w:type="spellEnd"/>
      <w:r w:rsidRPr="000C5A7A">
        <w:rPr>
          <w:rFonts w:asciiTheme="majorHAnsi" w:hAnsiTheme="majorHAnsi" w:cstheme="majorHAnsi"/>
          <w:lang w:val="en-GB"/>
        </w:rPr>
        <w:t xml:space="preserve"> domain.</w:t>
      </w:r>
    </w:p>
    <w:p w14:paraId="35DF7C13" w14:textId="77777777" w:rsidR="000B51BB" w:rsidRPr="000C5A7A" w:rsidRDefault="000B51BB" w:rsidP="000B51BB">
      <w:pPr>
        <w:pStyle w:val="BodyText"/>
        <w:rPr>
          <w:sz w:val="20"/>
          <w:szCs w:val="20"/>
          <w:lang w:val="en-GB" w:eastAsia="en-US"/>
        </w:rPr>
      </w:pPr>
      <w:r w:rsidRPr="000C5A7A">
        <w:rPr>
          <w:lang w:val="en-GB"/>
        </w:rPr>
        <w:t>CAPR = 0.5*</w:t>
      </w:r>
      <w:r w:rsidRPr="000C5A7A">
        <w:rPr>
          <w:sz w:val="20"/>
          <w:szCs w:val="20"/>
          <w:lang w:val="en-GB" w:eastAsia="en-US"/>
        </w:rPr>
        <w:t xml:space="preserve">(((12*100) +(9*10+3*100) +(12*10)) *0.7) + 0* (((12*10) +(12*10)+(12*1))*0.1)+ 0* (((12*1)+(3*10+9*1)+(12*1))*1) / </w:t>
      </w:r>
      <w:r w:rsidRPr="000C5A7A">
        <w:rPr>
          <w:lang w:val="en-GB"/>
        </w:rPr>
        <w:t>1 *</w:t>
      </w:r>
      <w:r w:rsidRPr="000C5A7A">
        <w:rPr>
          <w:sz w:val="20"/>
          <w:szCs w:val="20"/>
          <w:lang w:val="en-GB" w:eastAsia="en-US"/>
        </w:rPr>
        <w:t xml:space="preserve">(((12*100) +(9*10+3*100) +(12*10)) *0.7) + 1* (((12*10) +(12*10)+(12*1))*0.1)+ 1* (((12*1)+(3*10+9*1)+(12*1))*1) = (598.5 / 10) / (1393.2 / 100) =  4.29 </w:t>
      </w:r>
    </w:p>
    <w:p w14:paraId="59A7A57D" w14:textId="77777777" w:rsidR="000B51BB" w:rsidRPr="000C5A7A" w:rsidRDefault="000B51BB" w:rsidP="000B51BB">
      <w:pPr>
        <w:pStyle w:val="BodyText"/>
        <w:rPr>
          <w:lang w:val="en-GB"/>
        </w:rPr>
      </w:pPr>
      <w:r w:rsidRPr="000C5A7A">
        <w:rPr>
          <w:sz w:val="20"/>
          <w:szCs w:val="20"/>
          <w:lang w:val="en-GB" w:eastAsia="en-US"/>
        </w:rPr>
        <w:t xml:space="preserve">Meaning that average PU in AOI has more than 4-time higher conservation action priority than average PU in </w:t>
      </w:r>
      <w:proofErr w:type="spellStart"/>
      <w:r w:rsidRPr="000C5A7A">
        <w:rPr>
          <w:sz w:val="20"/>
          <w:szCs w:val="20"/>
          <w:lang w:val="en-GB" w:eastAsia="en-US"/>
        </w:rPr>
        <w:t>ArcNet</w:t>
      </w:r>
      <w:proofErr w:type="spellEnd"/>
      <w:r w:rsidRPr="000C5A7A">
        <w:rPr>
          <w:sz w:val="20"/>
          <w:szCs w:val="20"/>
          <w:lang w:val="en-GB" w:eastAsia="en-US"/>
        </w:rPr>
        <w:t xml:space="preserve"> Domain. This can be explained by the fact that it’s MNSR is 40% higher than average for the Domain on the other hand half of the A</w:t>
      </w:r>
      <w:r w:rsidRPr="000C5A7A">
        <w:rPr>
          <w:sz w:val="20"/>
          <w:szCs w:val="20"/>
          <w:vertAlign w:val="subscript"/>
          <w:lang w:val="en-GB" w:eastAsia="en-US"/>
        </w:rPr>
        <w:t>1</w:t>
      </w:r>
      <w:r w:rsidRPr="000C5A7A">
        <w:rPr>
          <w:sz w:val="20"/>
          <w:szCs w:val="20"/>
          <w:lang w:val="en-GB" w:eastAsia="en-US"/>
        </w:rPr>
        <w:t xml:space="preserve"> amount is concentrated within the AOI having a very small area (10 PU vs 100 PU for the Domain). Even though no other activities are present within the AOI, it’s A1 is the most concerning for biodiversity inhabiting the AOI – its MNSIA is 0.8 vs 0.3 vs 0.1 for other activities.</w:t>
      </w:r>
    </w:p>
    <w:p w14:paraId="0F849C48" w14:textId="77777777" w:rsidR="000B51BB" w:rsidRPr="000C5A7A" w:rsidRDefault="000B51BB" w:rsidP="000B51BB">
      <w:pPr>
        <w:spacing w:before="240" w:after="240"/>
        <w:rPr>
          <w:rFonts w:asciiTheme="majorHAnsi" w:hAnsiTheme="majorHAnsi" w:cstheme="majorHAnsi"/>
          <w:lang w:val="en-GB"/>
        </w:rPr>
      </w:pPr>
    </w:p>
    <w:p w14:paraId="6D6C30E6" w14:textId="77777777" w:rsidR="000B51BB" w:rsidRPr="000C5A7A" w:rsidRDefault="000B51BB" w:rsidP="000B51BB">
      <w:pPr>
        <w:spacing w:before="240" w:after="240"/>
        <w:rPr>
          <w:b/>
          <w:bCs/>
          <w:color w:val="222222"/>
          <w:highlight w:val="white"/>
          <w:lang w:val="en-GB"/>
        </w:rPr>
      </w:pPr>
      <w:r w:rsidRPr="000C5A7A">
        <w:rPr>
          <w:b/>
          <w:bCs/>
          <w:color w:val="222222"/>
          <w:highlight w:val="white"/>
          <w:lang w:val="en-GB"/>
        </w:rPr>
        <w:t>CAP:</w:t>
      </w:r>
    </w:p>
    <w:p w14:paraId="6A9CD0FA" w14:textId="77777777" w:rsidR="000B51BB" w:rsidRPr="000C5A7A" w:rsidRDefault="000B51BB" w:rsidP="000B51BB">
      <w:pPr>
        <w:pStyle w:val="FirstParagraph"/>
        <w:rPr>
          <w:lang w:val="en-GB"/>
        </w:rPr>
      </w:pPr>
      <m:oMathPara>
        <m:oMathParaPr>
          <m:jc m:val="center"/>
        </m:oMathParaPr>
        <m:oMath>
          <m:r>
            <w:rPr>
              <w:rFonts w:ascii="Cambria Math" w:hAnsi="Cambria Math"/>
              <w:lang w:val="en-GB"/>
            </w:rPr>
            <m:t>CAB</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d>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A</m:t>
              </m:r>
            </m:e>
          </m:nary>
          <m:r>
            <w:rPr>
              <w:rFonts w:ascii="Cambria Math" w:hAnsi="Cambria Math"/>
              <w:lang w:val="en-GB"/>
            </w:rPr>
            <m:t>mount</m:t>
          </m:r>
          <m:d>
            <m:dPr>
              <m:ctrlPr>
                <w:rPr>
                  <w:rFonts w:ascii="Cambria Math" w:hAnsi="Cambria Math"/>
                  <w:lang w:val="en-GB"/>
                </w:rPr>
              </m:ctrlPr>
            </m:dPr>
            <m:e>
              <m:r>
                <w:rPr>
                  <w:rFonts w:ascii="Cambria Math" w:hAnsi="Cambria Math"/>
                  <w:lang w:val="en-GB"/>
                </w:rPr>
                <m:t>I</m:t>
              </m:r>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t>
                  </m:r>
                </m:sub>
              </m:sSub>
            </m:e>
          </m:d>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oMath>
      </m:oMathPara>
    </w:p>
    <w:p w14:paraId="1D09F68A" w14:textId="77777777" w:rsidR="000B51BB" w:rsidRPr="000C5A7A" w:rsidRDefault="000B51BB" w:rsidP="000B51BB">
      <w:pPr>
        <w:spacing w:before="240" w:after="240"/>
        <w:rPr>
          <w:color w:val="222222"/>
          <w:highlight w:val="white"/>
          <w:lang w:val="en-GB"/>
        </w:rPr>
      </w:pPr>
      <m:oMathPara>
        <m:oMath>
          <m:r>
            <w:rPr>
              <w:rFonts w:ascii="Cambria Math" w:hAnsi="Cambria Math"/>
              <w:lang w:val="en-GB"/>
            </w:rPr>
            <m:t>CAP</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CAA</m:t>
              </m:r>
            </m:num>
            <m:den>
              <m:r>
                <w:rPr>
                  <w:rFonts w:ascii="Cambria Math" w:hAnsi="Cambria Math"/>
                  <w:lang w:val="en-GB"/>
                </w:rPr>
                <m:t>CAB</m:t>
              </m:r>
            </m:den>
          </m:f>
        </m:oMath>
      </m:oMathPara>
    </w:p>
    <w:p w14:paraId="2243DF4E" w14:textId="77777777" w:rsidR="000B51BB" w:rsidRPr="000C5A7A" w:rsidRDefault="000B51BB" w:rsidP="000B51BB">
      <w:pPr>
        <w:pStyle w:val="BodyText"/>
        <w:rPr>
          <w:b/>
          <w:bCs/>
          <w:lang w:val="en-GB" w:eastAsia="en-US"/>
        </w:rPr>
      </w:pPr>
    </w:p>
    <w:p w14:paraId="20DA7EA4" w14:textId="77777777" w:rsidR="000B51BB" w:rsidRPr="000C5A7A" w:rsidRDefault="000B51BB" w:rsidP="000B51BB">
      <w:pPr>
        <w:rPr>
          <w:sz w:val="20"/>
          <w:szCs w:val="20"/>
          <w:lang w:val="en-GB" w:eastAsia="en-US"/>
        </w:rPr>
      </w:pPr>
      <w:r w:rsidRPr="000C5A7A">
        <w:rPr>
          <w:lang w:val="en-GB"/>
        </w:rPr>
        <w:t>CAP = 0.5*</w:t>
      </w:r>
      <w:r w:rsidRPr="000C5A7A">
        <w:rPr>
          <w:sz w:val="20"/>
          <w:szCs w:val="20"/>
          <w:lang w:val="en-GB" w:eastAsia="en-US"/>
        </w:rPr>
        <w:t xml:space="preserve">(((12*100) +(9*10+3*100) +(12*10)) *0.7) + 0* (((12*10) +(12*10)+(12*1))*0.1)+ 0* (((12*1)+(3*10+9*1)+(12*1))*1) / </w:t>
      </w:r>
      <w:r w:rsidRPr="000C5A7A">
        <w:rPr>
          <w:lang w:val="en-GB"/>
        </w:rPr>
        <w:t>1*</w:t>
      </w:r>
      <w:r w:rsidRPr="000C5A7A">
        <w:rPr>
          <w:sz w:val="20"/>
          <w:szCs w:val="20"/>
          <w:lang w:val="en-GB" w:eastAsia="en-US"/>
        </w:rPr>
        <w:t>(3600*0.7) + 1* (3600*0.1)+ 1* (3600*1) = 598.5 / 6480 = 0.09</w:t>
      </w:r>
    </w:p>
    <w:p w14:paraId="7939221B" w14:textId="77777777" w:rsidR="000B51BB" w:rsidRPr="000C5A7A" w:rsidRDefault="000B51BB" w:rsidP="000B51BB">
      <w:pPr>
        <w:rPr>
          <w:sz w:val="20"/>
          <w:szCs w:val="20"/>
          <w:lang w:val="en-GB" w:eastAsia="en-US"/>
        </w:rPr>
      </w:pPr>
      <w:r w:rsidRPr="000C5A7A">
        <w:rPr>
          <w:sz w:val="20"/>
          <w:szCs w:val="20"/>
          <w:lang w:val="en-GB" w:eastAsia="en-US"/>
        </w:rPr>
        <w:t>This number says that even this area has a very high relative level of conservation action priority for the Arctic (more than 4 times higher than average), it still has a relatively low conservation action priority in absolute values – this is because just one activity is present, and two out of three CFs haver relatively low levels of conservation concern (MNSCF2 = 0.07 and MNSCF3 = 0.0175).</w:t>
      </w:r>
    </w:p>
    <w:p w14:paraId="4D6AB0B4" w14:textId="77777777" w:rsidR="00463B05" w:rsidRPr="000B51BB" w:rsidRDefault="00463B05">
      <w:pPr>
        <w:rPr>
          <w:lang w:val="en-GB"/>
        </w:rPr>
      </w:pPr>
    </w:p>
    <w:sectPr w:rsidR="00463B05" w:rsidRPr="000B5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BB"/>
    <w:rsid w:val="000B51BB"/>
    <w:rsid w:val="000F1058"/>
    <w:rsid w:val="00463B05"/>
    <w:rsid w:val="00497423"/>
    <w:rsid w:val="00C94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FFFD"/>
  <w15:chartTrackingRefBased/>
  <w15:docId w15:val="{94A5D6D4-6CFC-4533-B03B-C572DAE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BB"/>
    <w:pPr>
      <w:spacing w:after="120" w:line="276" w:lineRule="auto"/>
    </w:pPr>
    <w:rPr>
      <w:rFonts w:ascii="Arial" w:eastAsia="Arial" w:hAnsi="Arial" w:cs="Arial"/>
      <w:kern w:val="0"/>
      <w:lang w:eastAsia="en-CA"/>
      <w14:ligatures w14:val="none"/>
    </w:rPr>
  </w:style>
  <w:style w:type="paragraph" w:styleId="Heading1">
    <w:name w:val="heading 1"/>
    <w:basedOn w:val="Normal"/>
    <w:next w:val="Normal"/>
    <w:link w:val="Heading1Char"/>
    <w:uiPriority w:val="9"/>
    <w:qFormat/>
    <w:rsid w:val="000B51B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B51B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B51B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0B51BB"/>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B51BB"/>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B51BB"/>
    <w:pPr>
      <w:keepNext/>
      <w:keepLines/>
      <w:spacing w:before="40" w:after="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B51BB"/>
    <w:pPr>
      <w:keepNext/>
      <w:keepLines/>
      <w:spacing w:before="40" w:after="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B51BB"/>
    <w:pPr>
      <w:keepNext/>
      <w:keepLines/>
      <w:spacing w:after="0"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B51BB"/>
    <w:pPr>
      <w:keepNext/>
      <w:keepLines/>
      <w:spacing w:after="0"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1BB"/>
    <w:rPr>
      <w:rFonts w:eastAsiaTheme="majorEastAsia" w:cstheme="majorBidi"/>
      <w:color w:val="272727" w:themeColor="text1" w:themeTint="D8"/>
    </w:rPr>
  </w:style>
  <w:style w:type="paragraph" w:styleId="Title">
    <w:name w:val="Title"/>
    <w:basedOn w:val="Normal"/>
    <w:next w:val="Normal"/>
    <w:link w:val="TitleChar"/>
    <w:uiPriority w:val="10"/>
    <w:qFormat/>
    <w:rsid w:val="000B51BB"/>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B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1B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B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1BB"/>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B51BB"/>
    <w:rPr>
      <w:i/>
      <w:iCs/>
      <w:color w:val="404040" w:themeColor="text1" w:themeTint="BF"/>
    </w:rPr>
  </w:style>
  <w:style w:type="paragraph" w:styleId="ListParagraph">
    <w:name w:val="List Paragraph"/>
    <w:basedOn w:val="Normal"/>
    <w:uiPriority w:val="34"/>
    <w:qFormat/>
    <w:rsid w:val="000B51BB"/>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B51BB"/>
    <w:rPr>
      <w:i/>
      <w:iCs/>
      <w:color w:val="0F4761" w:themeColor="accent1" w:themeShade="BF"/>
    </w:rPr>
  </w:style>
  <w:style w:type="paragraph" w:styleId="IntenseQuote">
    <w:name w:val="Intense Quote"/>
    <w:basedOn w:val="Normal"/>
    <w:next w:val="Normal"/>
    <w:link w:val="IntenseQuoteChar"/>
    <w:uiPriority w:val="30"/>
    <w:qFormat/>
    <w:rsid w:val="000B51B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B51BB"/>
    <w:rPr>
      <w:i/>
      <w:iCs/>
      <w:color w:val="0F4761" w:themeColor="accent1" w:themeShade="BF"/>
    </w:rPr>
  </w:style>
  <w:style w:type="character" w:styleId="IntenseReference">
    <w:name w:val="Intense Reference"/>
    <w:basedOn w:val="DefaultParagraphFont"/>
    <w:uiPriority w:val="32"/>
    <w:qFormat/>
    <w:rsid w:val="000B51BB"/>
    <w:rPr>
      <w:b/>
      <w:bCs/>
      <w:smallCaps/>
      <w:color w:val="0F4761" w:themeColor="accent1" w:themeShade="BF"/>
      <w:spacing w:val="5"/>
    </w:rPr>
  </w:style>
  <w:style w:type="paragraph" w:styleId="BodyText">
    <w:name w:val="Body Text"/>
    <w:basedOn w:val="Normal"/>
    <w:link w:val="BodyTextChar"/>
    <w:uiPriority w:val="99"/>
    <w:unhideWhenUsed/>
    <w:rsid w:val="000B51BB"/>
    <w:rPr>
      <w:lang w:val="ru-RU" w:eastAsia="ru-RU"/>
    </w:rPr>
  </w:style>
  <w:style w:type="character" w:customStyle="1" w:styleId="BodyTextChar">
    <w:name w:val="Body Text Char"/>
    <w:basedOn w:val="DefaultParagraphFont"/>
    <w:link w:val="BodyText"/>
    <w:uiPriority w:val="99"/>
    <w:rsid w:val="000B51BB"/>
    <w:rPr>
      <w:rFonts w:ascii="Arial" w:eastAsia="Arial" w:hAnsi="Arial" w:cs="Arial"/>
      <w:kern w:val="0"/>
      <w:lang w:val="ru-RU" w:eastAsia="ru-RU"/>
      <w14:ligatures w14:val="none"/>
    </w:rPr>
  </w:style>
  <w:style w:type="paragraph" w:customStyle="1" w:styleId="FirstParagraph">
    <w:name w:val="First Paragraph"/>
    <w:basedOn w:val="BodyText"/>
    <w:next w:val="BodyText"/>
    <w:qFormat/>
    <w:rsid w:val="000B51BB"/>
    <w:pPr>
      <w:spacing w:before="180" w:after="180" w:line="240" w:lineRule="auto"/>
    </w:pPr>
    <w:rPr>
      <w:rFonts w:asciiTheme="minorHAnsi" w:eastAsia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0B51BB"/>
    <w:pPr>
      <w:spacing w:before="120"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Solovev</dc:creator>
  <cp:keywords/>
  <dc:description/>
  <cp:lastModifiedBy>Boris Solovev</cp:lastModifiedBy>
  <cp:revision>1</cp:revision>
  <dcterms:created xsi:type="dcterms:W3CDTF">2024-03-06T06:56:00Z</dcterms:created>
  <dcterms:modified xsi:type="dcterms:W3CDTF">2024-03-06T06:58:00Z</dcterms:modified>
</cp:coreProperties>
</file>