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 w:val="0"/>
          <w:i w:val="0"/>
          <w:color w:val="7F7F7F"/>
          <w:sz w:val="18"/>
        </w:rPr>
        <w:t>WWF-Canada Carbon Training</w:t>
      </w:r>
    </w:p>
    <w:p>
      <w:pPr>
        <w:spacing w:before="0" w:after="60"/>
      </w:pPr>
      <w:r>
        <w:rPr>
          <w:rFonts w:ascii="Calibri" w:hAnsi="Calibri"/>
          <w:b/>
          <w:i w:val="0"/>
          <w:sz w:val="30"/>
        </w:rPr>
        <w:t>Grassland Sample Inventory and Chain of Custody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One form per cooler. Complete the inventory BEFORE leaving the site, and again at every handoff. A sample whose custody cannot be traced is not evidence of anything, however carefully it was collected.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0"/>
        </w:rPr>
        <w:t>Project:  ___________________________     Site / stratum:  ___________________________     Cooler ID:  ____________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0"/>
        </w:rPr>
        <w:t>Field date(s):  ____________________     Crew:  _______________________________________________________</w:t>
      </w:r>
    </w:p>
    <w:p>
      <w:pPr>
        <w:spacing w:before="0" w:after="40"/>
      </w:pPr>
      <w:r>
        <w:rPr>
          <w:rFonts w:ascii="Calibri" w:hAnsi="Calibri"/>
          <w:b/>
          <w:i w:val="0"/>
          <w:sz w:val="24"/>
        </w:rPr>
        <w:t>1.  SITE RECONCILIATION — before leaving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888"/>
        <w:gridCol w:w="1872"/>
        <w:gridCol w:w="1872"/>
        <w:gridCol w:w="2880"/>
      </w:tblGrid>
      <w:tr>
        <w:tc>
          <w:tcPr>
            <w:tcW w:type="dxa" w:w="388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Count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Expected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Present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If they differ — what happened</w:t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Plots visited</w:t>
            </w:r>
          </w:p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388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Cores attempted</w:t>
            </w:r>
          </w:p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388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Cores accepted / rejected</w:t>
            </w:r>
          </w:p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388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Depth intervals expected</w:t>
            </w:r>
          </w:p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388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Depth intervals present</w:t>
            </w:r>
          </w:p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388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Containers, all analyses</w:t>
            </w:r>
          </w:p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1872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sz w:val="24"/>
        </w:rPr>
        <w:t>2.  CONTAINERS BY ANALYSIS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List ID ranges, not individual containers, where the IDs are consecutive.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736"/>
        <w:gridCol w:w="1296"/>
        <w:gridCol w:w="3600"/>
        <w:gridCol w:w="2880"/>
      </w:tblGrid>
      <w:tr>
        <w:tc>
          <w:tcPr>
            <w:tcW w:type="dxa" w:w="273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Analysis</w:t>
            </w:r>
          </w:p>
        </w:tc>
        <w:tc>
          <w:tcPr>
            <w:tcW w:type="dxa" w:w="129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Count</w:t>
            </w:r>
          </w:p>
        </w:tc>
        <w:tc>
          <w:tcPr>
            <w:tcW w:type="dxa" w:w="360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Container ID range</w:t>
            </w:r>
          </w:p>
        </w:tc>
        <w:tc>
          <w:tcPr>
            <w:tcW w:type="dxa" w:w="288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Preservation required</w:t>
            </w:r>
          </w:p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Soil carbon</w:t>
            </w:r>
          </w:p>
        </w:tc>
        <w:tc>
          <w:tcPr>
            <w:tcW w:type="dxa" w:w="1296"/>
            <w:shd w:val="clear" w:color="auto" w:fill="ffffff"/>
          </w:tcPr>
          <w:p/>
        </w:tc>
        <w:tc>
          <w:tcPr>
            <w:tcW w:type="dxa" w:w="360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Bulk density</w:t>
            </w:r>
          </w:p>
        </w:tc>
        <w:tc>
          <w:tcPr>
            <w:tcW w:type="dxa" w:w="1296"/>
            <w:shd w:val="clear" w:color="auto" w:fill="ffffff"/>
          </w:tcPr>
          <w:p/>
        </w:tc>
        <w:tc>
          <w:tcPr>
            <w:tcW w:type="dxa" w:w="360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Roots</w:t>
            </w:r>
          </w:p>
        </w:tc>
        <w:tc>
          <w:tcPr>
            <w:tcW w:type="dxa" w:w="1296"/>
            <w:shd w:val="clear" w:color="auto" w:fill="ffffff"/>
          </w:tcPr>
          <w:p/>
        </w:tc>
        <w:tc>
          <w:tcPr>
            <w:tcW w:type="dxa" w:w="360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Vegetation</w:t>
            </w:r>
          </w:p>
        </w:tc>
        <w:tc>
          <w:tcPr>
            <w:tcW w:type="dxa" w:w="1296"/>
            <w:shd w:val="clear" w:color="auto" w:fill="ffffff"/>
          </w:tcPr>
          <w:p/>
        </w:tc>
        <w:tc>
          <w:tcPr>
            <w:tcW w:type="dxa" w:w="360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  <w:tr>
        <w:tc>
          <w:tcPr>
            <w:tcW w:type="dxa" w:w="2736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Archive</w:t>
            </w:r>
          </w:p>
        </w:tc>
        <w:tc>
          <w:tcPr>
            <w:tcW w:type="dxa" w:w="1296"/>
            <w:shd w:val="clear" w:color="auto" w:fill="ffffff"/>
          </w:tcPr>
          <w:p/>
        </w:tc>
        <w:tc>
          <w:tcPr>
            <w:tcW w:type="dxa" w:w="3600"/>
            <w:shd w:val="clear" w:color="auto" w:fill="ffffff"/>
          </w:tcPr>
          <w:p/>
        </w:tc>
        <w:tc>
          <w:tcPr>
            <w:tcW w:type="dxa" w:w="2880"/>
            <w:shd w:val="clear" w:color="auto" w:fill="ffffff"/>
          </w:tcPr>
          <w:p/>
        </w:tc>
      </w:tr>
    </w:tbl>
    <w:p/>
    <w:p>
      <w:pPr>
        <w:spacing w:before="0" w:after="40"/>
      </w:pPr>
      <w:r>
        <w:rPr>
          <w:rFonts w:ascii="Calibri" w:hAnsi="Calibri"/>
          <w:b/>
          <w:i w:val="0"/>
          <w:sz w:val="24"/>
        </w:rPr>
        <w:t>3.  COLD CHAIN AND SEAL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0"/>
        </w:rPr>
        <w:t>Seal number:  ____________     Seal intact on arrival?   YES ☐    NO ☐    n/a 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880"/>
        <w:gridCol w:w="2592"/>
        <w:gridCol w:w="2448"/>
        <w:gridCol w:w="2592"/>
      </w:tblGrid>
      <w:tr>
        <w:tc>
          <w:tcPr>
            <w:tcW w:type="dxa" w:w="2880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Point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Date / time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Temperature (°C)</w:t>
            </w:r>
          </w:p>
        </w:tc>
        <w:tc>
          <w:tcPr>
            <w:tcW w:type="dxa" w:w="259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Recorded by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Cooler closed on site</w:t>
            </w:r>
          </w:p>
        </w:tc>
        <w:tc>
          <w:tcPr>
            <w:tcW w:type="dxa" w:w="2592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  <w:tc>
          <w:tcPr>
            <w:tcW w:type="dxa" w:w="2592"/>
            <w:shd w:val="clear" w:color="auto" w:fill="ffffff"/>
          </w:tcPr>
          <w:p/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Transferred</w:t>
            </w:r>
          </w:p>
        </w:tc>
        <w:tc>
          <w:tcPr>
            <w:tcW w:type="dxa" w:w="2592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  <w:tc>
          <w:tcPr>
            <w:tcW w:type="dxa" w:w="2592"/>
            <w:shd w:val="clear" w:color="auto" w:fill="ffffff"/>
          </w:tcPr>
          <w:p/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Received at lab</w:t>
            </w:r>
          </w:p>
        </w:tc>
        <w:tc>
          <w:tcPr>
            <w:tcW w:type="dxa" w:w="2592"/>
            <w:shd w:val="clear" w:color="auto" w:fill="ffffff"/>
          </w:tcPr>
          <w:p/>
        </w:tc>
        <w:tc>
          <w:tcPr>
            <w:tcW w:type="dxa" w:w="2448"/>
            <w:shd w:val="clear" w:color="auto" w:fill="ffffff"/>
          </w:tcPr>
          <w:p/>
        </w:tc>
        <w:tc>
          <w:tcPr>
            <w:tcW w:type="dxa" w:w="2592"/>
            <w:shd w:val="clear" w:color="auto" w:fill="ffffff"/>
          </w:tcPr>
          <w:p/>
        </w:tc>
      </w:tr>
    </w:tbl>
    <w:p/>
    <w:p>
      <w:pPr>
        <w:spacing w:before="0" w:after="40"/>
      </w:pPr>
      <w:r>
        <w:rPr>
          <w:rFonts w:ascii="Calibri" w:hAnsi="Calibri"/>
          <w:b w:val="0"/>
          <w:i w:val="0"/>
          <w:sz w:val="18"/>
        </w:rPr>
        <w:t>Holding time from collection to lab receipt:  ________ hours        Within the method's limit?   YES ☐    NO ☐</w:t>
      </w:r>
    </w:p>
    <w:p>
      <w:pPr>
        <w:spacing w:before="0" w:after="160"/>
      </w:pPr>
      <w:r>
        <w:rPr>
          <w:rFonts w:ascii="Calibri" w:hAnsi="Calibri"/>
          <w:b w:val="0"/>
          <w:i/>
          <w:sz w:val="16"/>
        </w:rPr>
        <w:t>If NO, say so here rather than leaving the lab to discover it — an exceeded holding time is a qualifier on the result, not a reason to hide it.</w:t>
      </w:r>
    </w:p>
    <w:p>
      <w:pPr>
        <w:spacing w:before="0" w:after="40"/>
      </w:pPr>
      <w:r>
        <w:rPr>
          <w:rFonts w:ascii="Calibri" w:hAnsi="Calibri"/>
          <w:b/>
          <w:i w:val="0"/>
          <w:sz w:val="24"/>
        </w:rPr>
        <w:t>4.  METHOD RECORD THESE SAMPLES ASSUME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These two are configuration decided before the field day. They travel with the samples because the lab's preparation has to match what the calculator assumes.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18"/>
        </w:rPr>
        <w:t>Bulk-density basis the lab reports:   fine earth / TOTAL volume ☐   fine earth / FINE-EARTH volume ☐   not confirmed ☐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18"/>
        </w:rPr>
        <w:t>Root/soil reporting boundary:   root-separated soil ☐   operational soil fraction ☐   NOT AGREED ☐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18"/>
        </w:rPr>
        <w:t>Laboratory / method reference / date confirmed:  ________________________________________________________________</w:t>
      </w:r>
    </w:p>
    <w:p>
      <w:pPr>
        <w:spacing w:before="0" w:after="40"/>
      </w:pPr>
      <w:r>
        <w:rPr>
          <w:rFonts w:ascii="Calibri" w:hAnsi="Calibri"/>
          <w:b/>
          <w:i w:val="0"/>
          <w:sz w:val="24"/>
        </w:rPr>
        <w:t>5.  CHAIN OF CUSTODY</w:t>
      </w:r>
    </w:p>
    <w:p>
      <w:pPr>
        <w:spacing w:before="0" w:after="80"/>
      </w:pPr>
      <w:r>
        <w:rPr>
          <w:rFonts w:ascii="Calibri" w:hAnsi="Calibri"/>
          <w:b w:val="0"/>
          <w:i/>
          <w:sz w:val="16"/>
        </w:rPr>
        <w:t>Every transfer gets a line. Both parties sign at the moment of transfer, not afterwards.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8"/>
        <w:gridCol w:w="2448"/>
        <w:gridCol w:w="1872"/>
        <w:gridCol w:w="1872"/>
        <w:gridCol w:w="1872"/>
      </w:tblGrid>
      <w:tr>
        <w:tc>
          <w:tcPr>
            <w:tcW w:type="dxa" w:w="244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Released by (print + sign)</w:t>
            </w:r>
          </w:p>
        </w:tc>
        <w:tc>
          <w:tcPr>
            <w:tcW w:type="dxa" w:w="2448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Received by (print + sign)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Date / time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Containers</w:t>
            </w:r>
          </w:p>
        </w:tc>
        <w:tc>
          <w:tcPr>
            <w:tcW w:type="dxa" w:w="1872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6"/>
              </w:rPr>
              <w:t>Condition on receipt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br/>
              <w:br/>
            </w:r>
          </w:p>
        </w:tc>
      </w:tr>
    </w:tbl>
    <w:p/>
    <w:p>
      <w:pPr>
        <w:spacing w:before="0" w:after="60"/>
      </w:pPr>
      <w:r>
        <w:rPr>
          <w:rFonts w:ascii="Calibri" w:hAnsi="Calibri"/>
          <w:b w:val="0"/>
          <w:i w:val="0"/>
          <w:sz w:val="18"/>
        </w:rPr>
        <w:t>Discrepancies, damage, or samples not delivered — record them even when they cannot be resolved: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_____________________________________________________________________________________________________________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_____________________________________________________________________________________________________________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18"/>
        </w:rPr>
        <w:t>_____________________________________________________________________________________________________________</w:t>
      </w:r>
    </w:p>
    <w:p/>
    <w:p>
      <w:pPr>
        <w:spacing w:before="0" w:after="80"/>
      </w:pPr>
      <w:r>
        <w:rPr>
          <w:rFonts w:ascii="Calibri" w:hAnsi="Calibri"/>
          <w:b w:val="0"/>
          <w:i/>
          <w:color w:val="7F7F7F"/>
          <w:sz w:val="14"/>
        </w:rPr>
        <w:t>Sources: Measuring Carbon in Non-Peat Soils and Supplemental Guide: Laboratory Analysis (WWF-Canada). Confirm the laboratory's own submission form does not replace this one — where it does, use theirs and keep this as the field copy.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