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-945" w:tblpY="-765"/>
        <w:tblW w:w="11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30"/>
        <w:gridCol w:w="1425"/>
        <w:gridCol w:w="2700"/>
        <w:gridCol w:w="3090"/>
        <w:gridCol w:w="1890"/>
        <w:tblGridChange w:id="0">
          <w:tblGrid>
            <w:gridCol w:w="2130"/>
            <w:gridCol w:w="1425"/>
            <w:gridCol w:w="2700"/>
            <w:gridCol w:w="3090"/>
            <w:gridCol w:w="189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Tree Survey Datasheet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Plot Description</w:t>
            </w:r>
          </w:p>
        </w:tc>
        <w:tc>
          <w:tcPr>
            <w:tcBorders>
              <w:left w:color="ffffff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Notes: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Location: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Plot ID: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Longitude: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Latitude: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GNSS accuracy (m):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Datum (e.g. WGS84):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Elevation (m above sea level):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Plot shape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S-N inclination: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E-W inclination: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Survey Data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Tree species identification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Tree measurements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Plot ID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 ID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 Species common name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Diameter at Breast Height (DBH, cm) — circle one:  DBH / circumference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Tree Height (m)</w:t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