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1828800" cy="381000"/>
            <wp:effectExtent t="0" r="0" b="0" l="0"/>
            <wp:docPr id="1" name="World Wide Technology" descr="World Wide Technology" title="World Wide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3600" w:line="240" w:lineRule="auto"/>
      </w:pPr>
      <w:r>
        <w:rPr>
          <w:rFonts w:ascii="Arial" w:cs="Arial" w:eastAsia="Arial" w:hAnsi="Arial"/>
          <w:color w:val="0086EA"/>
          <w:sz w:val="80"/>
          <w:szCs w:val="80"/>
        </w:rPr>
        <w:t xml:space="preserve">Workbook for Governance and Control with Hooks</w:t>
      </w:r>
    </w:p>
    <w:p>
      <w:pPr>
        <w:spacing w:after="0" w:before="240" w:line="324" w:lineRule="auto"/>
      </w:pPr>
      <w:r>
        <w:rPr>
          <w:rFonts w:ascii="Arial" w:cs="Arial" w:eastAsia="Arial" w:hAnsi="Arial"/>
          <w:color w:val="262626"/>
          <w:sz w:val="40"/>
          <w:szCs w:val="40"/>
        </w:rPr>
        <w:t xml:space="preserve">Participant workbook</w:t>
      </w:r>
    </w:p>
    <w:p>
      <w:pPr>
        <w:spacing w:after="360" w:before="360"/>
      </w:pPr>
      <w:r>
        <w:drawing>
          <wp:inline distT="0" distB="0" distL="0" distR="0">
            <wp:extent cx="5943600" cy="38100"/>
            <wp:effectExtent t="0" r="0" b="0" l="0"/>
            <wp:docPr id="2" name="WWT gradient rule" descr="WWT gradient rule" title="WWT gradient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1440" w:right="1440" w:bottom="1440" w:left="1440" w:header="720" w:footer="720" w:gutter="0"/>
          <w:pgNumType/>
          <w:docGrid w:linePitch="360"/>
        </w:sectPr>
      </w:pPr>
      <w:r>
        <w:rPr>
          <w:rFonts w:ascii="Arial" w:cs="Arial" w:eastAsia="Arial" w:hAnsi="Arial"/>
          <w:color w:val="5B6676"/>
          <w:sz w:val="24"/>
          <w:szCs w:val="24"/>
        </w:rPr>
        <w:t xml:space="preserve">October 7, 2026</w:t>
      </w:r>
    </w:p>
    <w:p>
      <w:pPr>
        <w:pStyle w:val="Heading1"/>
      </w:pPr>
      <w:r>
        <w:t xml:space="preserve">Workbook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Use this workbook as you go. Each lab has a page: the exercises from the session, then your notes. If you are working on your own, the answers to each page's exercises are on the page after it.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Warm-up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Has an AI agent ever done something you didn't expect?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Write it down in one line. Then ask yourself: was the gap between what you told it and what you enforced?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Which one can block a tool call before it runs?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A. A rule written in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CLAUDE.md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B. A skill that spells out what to do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C. A PreToolUse hook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D. A polite request in the prompt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My answer: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Warm-up answers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C, a PreToolUse hook.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It runs before the tool, outside the model, and can deny the call. A, B and D are guidance: they shape what the model wants to do, and it can still decide otherwise.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Lab 1: A guardrail that fails closed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Your guard script dies with exit 1. Was the </w:t>
      </w:r>
      <w:r>
        <w:rPr>
          <w:rFonts w:ascii="Consolas" w:cs="Consolas" w:eastAsia="Consolas" w:hAnsi="Consolas"/>
          <w:b/>
          <w:bCs/>
          <w:color w:val="262626"/>
          <w:sz w:val="20"/>
          <w:szCs w:val="20"/>
          <w:shd w:fill="F5F7FA" w:color="auto" w:val="clear"/>
        </w:rPr>
        <w:t xml:space="preserve">rm -rf</w:t>
      </w: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 stopped?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A. Yes, a crash stops the call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B. No, the call goes through</w:t>
      </w:r>
    </w:p>
    <w:p>
      <w:pPr>
        <w:pStyle w:val="ListParagraph"/>
        <w:numPr>
          <w:ilvl w:val="0"/>
          <w:numId w:val="2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C. Only if the error message says so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My answer: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What I did.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What surprised me.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What I will try in my own work.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Lab 1 answers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B, the call goes through.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Exit 2 is the one exit code that blocks by itself. Exit 1, a crash, a timeout or a mistyped script path is a non-blocking error, unless the handler sets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"onFailure": "block"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. Valid deny JSON on stdout also blocks, whatever the exit code.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Lab 2: Receipts you can trust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Pre or post?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For each need, write PRE or POST.</w:t>
      </w:r>
    </w:p>
    <w:p>
      <w:pPr>
        <w:pStyle w:val="ListParagraph"/>
        <w:numPr>
          <w:ilvl w:val="0"/>
          <w:numId w:val="3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Stop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rm -rf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from wiping a home directory</w:t>
      </w:r>
    </w:p>
    <w:p>
      <w:pPr>
        <w:pStyle w:val="ListParagraph"/>
        <w:numPr>
          <w:ilvl w:val="0"/>
          <w:numId w:val="3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Keep an AWS key out of what Claude sees from a file it read</w:t>
      </w:r>
    </w:p>
    <w:p>
      <w:pPr>
        <w:pStyle w:val="ListParagraph"/>
        <w:numPr>
          <w:ilvl w:val="0"/>
          <w:numId w:val="3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Require human sign-off before any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git push</w:t>
      </w:r>
    </w:p>
    <w:p>
      <w:pPr>
        <w:pStyle w:val="ListParagraph"/>
        <w:numPr>
          <w:ilvl w:val="0"/>
          <w:numId w:val="3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Lint each file once it has been edited</w:t>
      </w:r>
    </w:p>
    <w:p>
      <w:pPr>
        <w:pStyle w:val="ListParagraph"/>
        <w:numPr>
          <w:ilvl w:val="0"/>
          <w:numId w:val="3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Put a dry-run flag on every deploy command</w:t>
      </w:r>
    </w:p>
    <w:p>
      <w:pPr>
        <w:pStyle w:val="ListParagraph"/>
        <w:numPr>
          <w:ilvl w:val="0"/>
          <w:numId w:val="3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Log every tool call to an audit trail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My answers: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What I did.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What surprised me.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What I will try in my own work.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Lab 2 answers</w:t>
      </w:r>
    </w:p>
    <w:p>
      <w:pPr>
        <w:pStyle w:val="ListParagraph"/>
        <w:numPr>
          <w:ilvl w:val="0"/>
          <w:numId w:val="4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PRE: prevention has to happen before it runs.</w:t>
      </w:r>
    </w:p>
    <w:p>
      <w:pPr>
        <w:pStyle w:val="ListParagraph"/>
        <w:numPr>
          <w:ilvl w:val="0"/>
          <w:numId w:val="4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POST: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updatedToolOutput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changes what Claude sees next.</w:t>
      </w:r>
    </w:p>
    <w:p>
      <w:pPr>
        <w:pStyle w:val="ListParagraph"/>
        <w:numPr>
          <w:ilvl w:val="0"/>
          <w:numId w:val="4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PRE: an ask decision, or an ask rule such as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Bash(git push *)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POST: the edit has to exist first.</w:t>
      </w:r>
    </w:p>
    <w:p>
      <w:pPr>
        <w:pStyle w:val="ListParagraph"/>
        <w:numPr>
          <w:ilvl w:val="0"/>
          <w:numId w:val="4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PRE: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updatedInput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rewrites the arguments before the tool runs. Changing things is not always post.</w:t>
      </w:r>
    </w:p>
    <w:p>
      <w:pPr>
        <w:pStyle w:val="ListParagraph"/>
        <w:numPr>
          <w:ilvl w:val="0"/>
          <w:numId w:val="4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POST: it sees the result. Add PostToolUseFailure, or failed calls are missing.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Lab 3: The big red button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Pick the control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for each need (Lab 3, Step 1): permission deny rule, permission ask rule, PreToolUse command hook,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disableBypassPermissionsMode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allowManagedHooksOnly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Claude is never allowed to read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.env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files:</w:t>
      </w:r>
    </w:p>
    <w:p>
      <w:pPr>
        <w:pStyle w:val="ListParagraph"/>
        <w:numPr>
          <w:ilvl w:val="0"/>
          <w:numId w:val="5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Stop scripts fetched from the internet being piped into a shell:</w:t>
      </w:r>
    </w:p>
    <w:p>
      <w:pPr>
        <w:pStyle w:val="ListParagraph"/>
        <w:numPr>
          <w:ilvl w:val="0"/>
          <w:numId w:val="5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Every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git push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needs a person to approve it:</w:t>
      </w:r>
    </w:p>
    <w:p>
      <w:pPr>
        <w:pStyle w:val="ListParagraph"/>
        <w:numPr>
          <w:ilvl w:val="0"/>
          <w:numId w:val="5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Bypass mode cannot be turned on by anyone:</w:t>
      </w:r>
    </w:p>
    <w:p>
      <w:pPr>
        <w:pStyle w:val="ListParagraph"/>
        <w:numPr>
          <w:ilvl w:val="0"/>
          <w:numId w:val="5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Only hooks that security has approved are allowed to run: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The kill switch service is down at 2 a.m. What do agents do?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Fail open, fail closed, or it depends. Write your choice, why, and who owns the decision.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Which file wins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(Lab 3, Step 7)? Name two ways a kill switch in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.claude/settings.json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could stop protecting you.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My halt time: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____ seconds.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What I did.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What surprised me.</w:t>
      </w:r>
    </w:p>
    <w:p>
      <w:pPr>
        <w:spacing w:after="120" w:before="0" w:line="324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What I will try in my own work.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Lab 3 answers</w:t>
      </w:r>
    </w:p>
    <w:p>
      <w:pPr>
        <w:pStyle w:val="ListParagraph"/>
        <w:numPr>
          <w:ilvl w:val="0"/>
          <w:numId w:val="6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 permission deny rule: a simple pattern, enforced natively.</w:t>
      </w:r>
    </w:p>
    <w:p>
      <w:pPr>
        <w:pStyle w:val="ListParagraph"/>
        <w:numPr>
          <w:ilvl w:val="0"/>
          <w:numId w:val="6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 PreToolUse command hook: the pipe can be written many ways, so it needs logic.</w:t>
      </w:r>
    </w:p>
    <w:p>
      <w:pPr>
        <w:pStyle w:val="ListParagraph"/>
        <w:numPr>
          <w:ilvl w:val="0"/>
          <w:numId w:val="6"/>
        </w:numPr>
        <w:spacing w:after="6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 permission ask rule, or a hook that answers ask.</w:t>
      </w:r>
    </w:p>
    <w:p>
      <w:pPr>
        <w:pStyle w:val="ListParagraph"/>
        <w:numPr>
          <w:ilvl w:val="0"/>
          <w:numId w:val="6"/>
        </w:numPr>
        <w:spacing w:after="60" w:before="0" w:line="324" w:lineRule="auto"/>
      </w:pP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disableBypassPermissionsMode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: it removes the escape hatch.</w:t>
      </w:r>
    </w:p>
    <w:p>
      <w:pPr>
        <w:pStyle w:val="ListParagraph"/>
        <w:numPr>
          <w:ilvl w:val="0"/>
          <w:numId w:val="6"/>
        </w:numPr>
        <w:spacing w:after="60" w:before="0" w:line="324" w:lineRule="auto"/>
      </w:pP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allowManagedHooksOnly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: it stops hooks nobody approved.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The 2 a.m. question has no single right answer. Fail closed is safer; fail open keeps people working during an outage. The wrong answer is not deciding, because then the default decides for you, and the default is to carry on.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 kill switch in a project file can be edited or deleted by anyone with the repo, and a project that never had the file has none. In managed settings, with </w:t>
      </w:r>
      <w:r>
        <w:rPr>
          <w:rFonts w:ascii="Consolas" w:cs="Consolas" w:eastAsia="Consolas" w:hAnsi="Consolas"/>
          <w:color w:val="262626"/>
          <w:sz w:val="20"/>
          <w:szCs w:val="20"/>
          <w:shd w:fill="F5F7FA" w:color="auto" w:val="clear"/>
        </w:rPr>
        <w:t xml:space="preserve">allowManagedHooksOnly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, neither can happen.</w:t>
      </w: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Governance checklist before you scale</w:t>
      </w:r>
    </w:p>
    <w:p>
      <w:pPr>
        <w:spacing w:after="120" w:before="0" w:line="324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Tick what your team has. Circle the number you are furthest from: that is your homework.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6"/>
        <w:gridCol w:w="6284"/>
        <w:gridCol w:w="2200"/>
      </w:tblGrid>
      <w:tr>
        <w:trPr>
          <w:cantSplit/>
          <w:tblHeader/>
        </w:trPr>
        <w:tc>
          <w:tcPr>
            <w:tcW w:type="dxa" w:w="87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0087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2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0087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you scale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0087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62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Write the end-state policy: never, ask, log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Security and platform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62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Block irreversible actions with a rule or a PreToolUse hook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Platform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62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Send audit records off the laptop, keyed to telemetry by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prompt_id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Platform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62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Lock the managed tier: only managed hooks and rules, bypass off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IT and endpoint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62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Make the kill switch fail closed, and drill it on a schedule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Security operations</w:t>
            </w:r>
          </w:p>
        </w:tc>
      </w:tr>
      <w:tr>
        <w:trPr>
          <w:cantSplit/>
        </w:trPr>
        <w:tc>
          <w:tcPr>
            <w:tcW w:type="dxa" w:w="87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6</w:t>
            </w:r>
          </w:p>
        </w:tc>
        <w:tc>
          <w:tcPr>
            <w:tcW w:type="dxa" w:w="62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Run hook tests in CI ahead of each policy change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Platform</w:t>
            </w:r>
          </w:p>
        </w:tc>
      </w:tr>
    </w:tbl>
    <w:p>
      <w:pPr>
        <w:spacing w:after="120" w:before="0" w:line="240"/>
      </w:pPr>
    </w:p>
    <w:p>
      <w:pPr>
        <w:spacing w:after="0" w:before="0" w:line="20" w:lineRule="exact"/>
      </w:pPr>
      <w:r>
        <w:br w:type="page"/>
      </w:r>
    </w:p>
    <w:p>
      <w:pPr>
        <w:pStyle w:val="Heading2"/>
      </w:pPr>
      <w:r>
        <w:t xml:space="preserve">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70"/>
        <w:gridCol w:w="7390"/>
      </w:tblGrid>
      <w:tr>
        <w:trPr>
          <w:cantSplit/>
          <w:tblHeader/>
        </w:trPr>
        <w:tc>
          <w:tcPr>
            <w:tcW w:type="dxa" w:w="19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0087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0087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Hook</w:t>
            </w:r>
          </w:p>
        </w:tc>
        <w:tc>
          <w:tcPr>
            <w:tcW w:type="dxa" w:w="73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Your code that Claude Code runs at a set point in a session, every time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Event</w:t>
            </w:r>
          </w:p>
        </w:tc>
        <w:tc>
          <w:tcPr>
            <w:tcW w:type="dxa" w:w="73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The point a hook runs at, such as PreToolUse or PostToolUse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Matcher</w:t>
            </w:r>
          </w:p>
        </w:tc>
        <w:tc>
          <w:tcPr>
            <w:tcW w:type="dxa" w:w="73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Which tools an event's hooks apply to, such as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Bash</w:t>
            </w: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, or a pattern that matches several tools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Handler</w:t>
            </w:r>
          </w:p>
        </w:tc>
        <w:tc>
          <w:tcPr>
            <w:tcW w:type="dxa" w:w="73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What runs: here, a command that starts a Node script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Permission rule</w:t>
            </w:r>
          </w:p>
        </w:tc>
        <w:tc>
          <w:tcPr>
            <w:tcW w:type="dxa" w:w="73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An allow, ask or deny pattern, such as </w:t>
            </w:r>
            <w:r>
              <w:rPr>
                <w:rFonts w:ascii="Consolas" w:cs="Consolas" w:eastAsia="Consolas" w:hAnsi="Consolas"/>
                <w:color w:val="262626"/>
                <w:sz w:val="20"/>
                <w:szCs w:val="20"/>
                <w:shd w:fill="F5F7FA" w:color="auto" w:val="clear"/>
              </w:rPr>
              <w:t xml:space="preserve">Read(**/.env)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Fail closed</w:t>
            </w:r>
          </w:p>
        </w:tc>
        <w:tc>
          <w:tcPr>
            <w:tcW w:type="dxa" w:w="73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When a control cannot decide, it blocks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Fail open</w:t>
            </w:r>
          </w:p>
        </w:tc>
        <w:tc>
          <w:tcPr>
            <w:tcW w:type="dxa" w:w="73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When a control cannot decide, it lets the action through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Managed settings</w:t>
            </w:r>
          </w:p>
        </w:tc>
        <w:tc>
          <w:tcPr>
            <w:tcW w:type="dxa" w:w="73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The settings file IT ships. Nothing below it can override it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Control plane</w:t>
            </w:r>
          </w:p>
        </w:tc>
        <w:tc>
          <w:tcPr>
            <w:tcW w:type="dxa" w:w="73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The service that holds the run, halt or suspend status the kill switch asks for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Positive control</w:t>
            </w:r>
          </w:p>
        </w:tc>
        <w:tc>
          <w:tcPr>
            <w:tcW w:type="dxa" w:w="739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7FA" w:color="auto" w:val="clear"/>
            <w:tcMar>
              <w:top w:type="dxa" w:w="72"/>
              <w:left w:type="dxa" w:w="101"/>
              <w:bottom w:type="dxa" w:w="72"/>
              <w:right w:type="dxa" w:w="101"/>
            </w:tcMar>
          </w:tcPr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The proven ability to halt agent work whenever governance requires it</w:t>
            </w:r>
          </w:p>
        </w:tc>
      </w:tr>
    </w:tbl>
    <w:p>
      <w:pPr>
        <w:spacing w:after="120" w:before="0" w:line="240"/>
      </w:pPr>
    </w:p>
    <w:p>
      <w:pPr>
        <w:keepNext/>
        <w:spacing w:after="240" w:before="360"/>
      </w:pPr>
      <w:r>
        <w:drawing>
          <wp:inline distT="0" distB="0" distL="0" distR="0">
            <wp:extent cx="5943600" cy="38100"/>
            <wp:effectExtent t="0" r="0" b="0" l="0"/>
            <wp:docPr id="3" name="WWT gradient rule" descr="WWT gradient rule" title="WWT gradient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drawing>
          <wp:inline distT="0" distB="0" distL="0" distR="0">
            <wp:extent cx="1524000" cy="314325"/>
            <wp:effectExtent t="0" r="0" b="0" l="0"/>
            <wp:docPr id="4" name="World Wide Technology" descr="World Wide Technology" title="World Wide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  <w:jc w:val="center"/>
      </w:pPr>
      <w:r>
        <w:rPr>
          <w:rFonts w:ascii="Arial" w:cs="Arial" w:eastAsia="Arial" w:hAnsi="Arial"/>
          <w:color w:val="0086EA"/>
          <w:sz w:val="36"/>
          <w:szCs w:val="36"/>
        </w:rPr>
        <w:t xml:space="preserve">Make a new world happen</w:t>
      </w:r>
    </w:p>
    <w:p>
      <w:pPr>
        <w:jc w:val="center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wwt.com</w:t>
      </w:r>
    </w:p>
    <w:sectPr>
      <w:headerReference w:type="default" r:id="rId6"/>
      <w:footerReference w:type="default" r:id="rId7"/>
      <w:type w:val="nextPage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inline distT="0" distB="0" distL="0" distR="0">
          <wp:extent cx="5943600" cy="38100"/>
          <wp:effectExtent t="0" r="0" b="0" l="0"/>
          <wp:docPr id="5" name="WWT gradient rule" descr="WWT gradient rule" title="WWT gradient ru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8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tabs>
        <w:tab w:val="right" w:pos="9360"/>
      </w:tabs>
      <w:spacing w:after="0" w:before="80"/>
    </w:pPr>
    <w:r>
      <w:rPr>
        <w:rFonts w:ascii="Arial" w:cs="Arial" w:eastAsia="Arial" w:hAnsi="Arial"/>
        <w:color w:val="5B6676"/>
        <w:sz w:val="18"/>
        <w:szCs w:val="18"/>
      </w:rPr>
      <w:t xml:space="preserve">World Wide Technology</w:t>
    </w:r>
    <w:r>
      <w:rPr>
        <w:rFonts w:ascii="Arial" w:cs="Arial" w:eastAsia="Arial" w:hAnsi="Arial"/>
        <w:color w:val="5B6676"/>
        <w:sz w:val="18"/>
        <w:szCs w:val="18"/>
      </w:rPr>
      <w:t xml:space="preserve">	Page </w:t>
    </w:r>
    <w:r>
      <w:rPr>
        <w:rFonts w:ascii="Arial" w:cs="Arial" w:eastAsia="Arial" w:hAnsi="Arial"/>
        <w:color w:val="5B667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80" w:before="0"/>
    </w:pPr>
    <w:r>
      <w:drawing>
        <wp:inline distT="0" distB="0" distL="0" distR="0">
          <wp:extent cx="685800" cy="342900"/>
          <wp:effectExtent t="0" r="0" b="0" l="0"/>
          <wp:docPr id="6" name="WWT monogram" descr="WWT monogram" title="WWT monogr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B6676"/>
        <w:sz w:val="18"/>
        <w:szCs w:val="18"/>
      </w:rPr>
      <w:t xml:space="preserve">	</w:t>
      <w:t xml:space="preserve">Workbook for Governance and Control with Hooks</w:t>
    </w:r>
  </w:p>
  <w:p>
    <w:pPr>
      <w:spacing w:after="0" w:before="0"/>
    </w:pPr>
    <w:r>
      <w:drawing>
        <wp:inline distT="0" distB="0" distL="0" distR="0">
          <wp:extent cx="5943600" cy="38100"/>
          <wp:effectExtent t="0" r="0" b="0" l="0"/>
          <wp:docPr id="7" name="WWT gradient rule" descr="WWT gradient rule" title="WWT gradient ru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8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5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440" w:hanging="360"/>
      </w:pPr>
      <w:rPr>
        <w:rFonts w:ascii="Arial" w:cs="Arial" w:eastAsia="Arial" w:hAnsi="Arial"/>
      </w:rPr>
    </w:lvl>
  </w:abstractNum>
  <w:abstractNum w:abstractNumId="6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800" w:hanging="360"/>
      </w:pPr>
      <w:rPr>
        <w:rFonts w:ascii="Arial" w:cs="Arial" w:eastAsia="Arial" w:hAnsi="Arial"/>
      </w:rPr>
    </w:lvl>
  </w:abstractNum>
  <w:abstractNum w:abstractNumId="7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2160" w:hanging="360"/>
      </w:pPr>
      <w:rPr>
        <w:rFonts w:ascii="Arial" w:cs="Arial" w:eastAsia="Arial" w:hAnsi="Arial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20" w:before="360" w:line="240" w:lineRule="auto"/>
    </w:pPr>
    <w:rPr>
      <w:rFonts w:ascii="Arial" w:cs="Arial" w:eastAsia="Arial" w:hAnsi="Arial"/>
      <w:b/>
      <w:bCs/>
      <w:color w:val="0086EA"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after="100" w:before="280" w:line="324" w:lineRule="auto"/>
    </w:pPr>
    <w:rPr>
      <w:rFonts w:ascii="Arial" w:cs="Arial" w:eastAsia="Arial" w:hAnsi="Arial"/>
      <w:b/>
      <w:bCs/>
      <w:color w:val="0086EA"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after="80" w:before="200" w:line="324" w:lineRule="auto"/>
    </w:pPr>
    <w:rPr>
      <w:rFonts w:ascii="Arial" w:cs="Arial" w:eastAsia="Arial" w:hAnsi="Arial"/>
      <w:b/>
      <w:bCs/>
      <w:color w:val="0086EA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pPr>
      <w:spacing w:line="276"/>
    </w:pPr>
    <w:rPr>
      <w:rFonts w:ascii="Consolas" w:cs="Consolas" w:eastAsia="Consolas" w:hAnsi="Consolas"/>
      <w:color w:val="262626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e97c583a668dfef79f10667d7a1b5224cd4429b.png"/><Relationship Id="rId10" Type="http://schemas.openxmlformats.org/officeDocument/2006/relationships/image" Target="media/a55f172c5b280ae950bc373c632d70ca4470be2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55f172c5b280ae950bc373c632d70ca4470be23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55f172c5b280ae950bc373c632d70ca4470be23.png"/><Relationship Id="rId1" Type="http://schemas.openxmlformats.org/officeDocument/2006/relationships/image" Target="media/1a1192947337438b0a5b41253be5b8bbd16624a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Workbook for Governance and Control with Hooks</dc:title>
  <dc:creator>World Wide Technology</dc:creator>
  <dc:description>Participant workbook</dc:description>
  <cp:lastModifiedBy>World Wide Technology</cp:lastModifiedBy>
  <cp:revision>1</cp:revision>
  <dcterms:created xsi:type="dcterms:W3CDTF">2026-10-01T00:00:00Z</dcterms:created>
  <dcterms:modified xsi:type="dcterms:W3CDTF">2026-10-01T00:00:00Z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