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1828800" cy="381000"/>
            <wp:effectExtent t="0" r="0" b="0" l="0"/>
            <wp:docPr id="1" name="World Wide Technology" descr="World Wide Technology" title="World Wide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3600" w:line="240" w:lineRule="auto"/>
      </w:pPr>
      <w:r>
        <w:rPr>
          <w:rFonts w:ascii="Arial" w:cs="Arial" w:eastAsia="Arial" w:hAnsi="Arial"/>
          <w:color w:val="0086EA"/>
          <w:sz w:val="80"/>
          <w:szCs w:val="80"/>
        </w:rPr>
        <w:t xml:space="preserve">Workbook for Observability Foundations for Claude Code: SecOps Edition</w:t>
      </w:r>
    </w:p>
    <w:p>
      <w:pPr>
        <w:spacing w:after="0" w:before="240" w:line="324" w:lineRule="auto"/>
      </w:pPr>
      <w:r>
        <w:rPr>
          <w:rFonts w:ascii="Arial" w:cs="Arial" w:eastAsia="Arial" w:hAnsi="Arial"/>
          <w:color w:val="262626"/>
          <w:sz w:val="40"/>
          <w:szCs w:val="40"/>
        </w:rPr>
        <w:t xml:space="preserve">Participant workbook</w:t>
      </w:r>
    </w:p>
    <w:p>
      <w:pPr>
        <w:spacing w:after="360" w:before="360"/>
      </w:pPr>
      <w:r>
        <w:drawing>
          <wp:inline distT="0" distB="0" distL="0" distR="0">
            <wp:extent cx="5943600" cy="38100"/>
            <wp:effectExtent t="0" r="0" b="0" l="0"/>
            <wp:docPr id="2" name="WWT gradient rule" descr="WWT gradient rule" title="WWT gradient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pgMar w:top="1440" w:right="1440" w:bottom="1440" w:left="1440" w:header="720" w:footer="720" w:gutter="0"/>
          <w:pgNumType/>
          <w:docGrid w:linePitch="360"/>
        </w:sectPr>
      </w:pPr>
      <w:r>
        <w:rPr>
          <w:rFonts w:ascii="Arial" w:cs="Arial" w:eastAsia="Arial" w:hAnsi="Arial"/>
          <w:color w:val="5B6676"/>
          <w:sz w:val="24"/>
          <w:szCs w:val="24"/>
        </w:rPr>
        <w:t xml:space="preserve">October 7, 2026</w:t>
      </w:r>
    </w:p>
    <w:p>
      <w:pPr>
        <w:pStyle w:val="Heading1"/>
      </w:pPr>
      <w:r>
        <w:t xml:space="preserve">Workbook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Use this workbook to take notes as you go. Fill in a section at the end of each lab, so you have something to take back to your own team.</w:t>
      </w:r>
    </w:p>
    <w:p>
      <w:pPr>
        <w:pStyle w:val="Heading2"/>
      </w:pPr>
      <w:r>
        <w:t xml:space="preserve">Lab 1: Who is the agent acting as?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My </w:t>
      </w:r>
      <w:r>
        <w:rPr>
          <w:rFonts w:ascii="Consolas" w:cs="Consolas" w:eastAsia="Consolas" w:hAnsi="Consolas"/>
          <w:b/>
          <w:bCs/>
          <w:color w:val="262626"/>
          <w:sz w:val="20"/>
          <w:szCs w:val="20"/>
          <w:shd w:fill="F5F7FA" w:color="auto" w:val="clear"/>
        </w:rPr>
        <w:t xml:space="preserve">enduser_id</w:t>
      </w: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 value from step 6.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How do the people on my team sign in to Claude Code today: Claude account, API key or cloud provider?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What surprised me.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What I will try in my own work.</w:t>
      </w:r>
    </w:p>
    <w:p>
      <w:pPr>
        <w:spacing w:after="0" w:before="0" w:line="20" w:lineRule="exact"/>
      </w:pPr>
      <w:r>
        <w:br w:type="page"/>
      </w:r>
    </w:p>
    <w:p>
      <w:pPr>
        <w:pStyle w:val="Heading2"/>
      </w:pPr>
      <w:r>
        <w:t xml:space="preserve">Lab 2: From event to detection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The number of events my </w:t>
      </w:r>
      <w:r>
        <w:rPr>
          <w:rFonts w:ascii="Consolas" w:cs="Consolas" w:eastAsia="Consolas" w:hAnsi="Consolas"/>
          <w:b/>
          <w:bCs/>
          <w:color w:val="262626"/>
          <w:sz w:val="20"/>
          <w:szCs w:val="20"/>
          <w:shd w:fill="F5F7FA" w:color="auto" w:val="clear"/>
        </w:rPr>
        <w:t xml:space="preserve">prompt_id</w:t>
      </w: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 query returned.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Which of D1 to D7 my SIEM could run today, and which need tool details first.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What surprised me.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What I will try in my own work.</w:t>
      </w:r>
    </w:p>
    <w:p>
      <w:pPr>
        <w:spacing w:after="0" w:before="0" w:line="20" w:lineRule="exact"/>
      </w:pPr>
      <w:r>
        <w:br w:type="page"/>
      </w:r>
    </w:p>
    <w:p>
      <w:pPr>
        <w:pStyle w:val="Heading2"/>
      </w:pPr>
      <w:r>
        <w:t xml:space="preserve">Lab 3: agentgateway as the control point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How long it took from deleting Bob's key to Bob's first 401.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Where model traffic leaves our network today, and whether one gateway could see all of it.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What surprised me.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What I will try in my own work.</w:t>
      </w:r>
    </w:p>
    <w:p>
      <w:pPr>
        <w:spacing w:after="0" w:before="0" w:line="20" w:lineRule="exact"/>
      </w:pPr>
      <w:r>
        <w:br w:type="page"/>
      </w:r>
    </w:p>
    <w:p>
      <w:pPr>
        <w:pStyle w:val="Heading2"/>
      </w:pPr>
      <w:r>
        <w:t xml:space="preserve">Detection readiness checklist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Mark each line: done, in progress, or not started. Circle the one your team is furthest from.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23"/>
        <w:gridCol w:w="2766"/>
        <w:gridCol w:w="871"/>
      </w:tblGrid>
      <w:tr>
        <w:trPr>
          <w:cantSplit/>
          <w:tblHeader/>
        </w:trPr>
        <w:tc>
          <w:tcPr>
            <w:tcW w:type="dxa" w:w="57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0087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you scale past a pilot</w:t>
            </w:r>
          </w:p>
        </w:tc>
        <w:tc>
          <w:tcPr>
            <w:tcW w:type="dxa" w:w="27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0087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87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0087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7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Security events flow to the SIEM, locked in managed settings</w:t>
            </w:r>
          </w:p>
        </w:tc>
        <w:tc>
          <w:tcPr>
            <w:tcW w:type="dxa" w:w="27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Detection engineering</w:t>
            </w:r>
          </w:p>
        </w:tc>
        <w:tc>
          <w:tcPr>
            <w:tcW w:type="dxa" w:w="87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57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Tool details on, with Collector redaction in place</w:t>
            </w:r>
          </w:p>
        </w:tc>
        <w:tc>
          <w:tcPr>
            <w:tcW w:type="dxa" w:w="27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SecOps and privacy</w:t>
            </w:r>
          </w:p>
        </w:tc>
        <w:tc>
          <w:tcPr>
            <w:tcW w:type="dxa" w:w="87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57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Identity on every event, including API key and cloud provider users</w:t>
            </w:r>
          </w:p>
        </w:tc>
        <w:tc>
          <w:tcPr>
            <w:tcW w:type="dxa" w:w="27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IAM</w:t>
            </w:r>
          </w:p>
        </w:tc>
        <w:tc>
          <w:tcPr>
            <w:tcW w:type="dxa" w:w="87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57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Starter detections tuned and alerting, plus a coverage alert for endpoints that go quiet</w:t>
            </w:r>
          </w:p>
        </w:tc>
        <w:tc>
          <w:tcPr>
            <w:tcW w:type="dxa" w:w="27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Detection engineering and SOC</w:t>
            </w:r>
          </w:p>
        </w:tc>
        <w:tc>
          <w:tcPr>
            <w:tcW w:type="dxa" w:w="87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57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Gateway enforced at the network layer, and key revocation tested</w:t>
            </w:r>
          </w:p>
        </w:tc>
        <w:tc>
          <w:tcPr>
            <w:tcW w:type="dxa" w:w="27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Security engineering</w:t>
            </w:r>
          </w:p>
        </w:tc>
        <w:tc>
          <w:tcPr>
            <w:tcW w:type="dxa" w:w="87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57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Agent incidents added to the IR runbooks</w:t>
            </w:r>
          </w:p>
        </w:tc>
        <w:tc>
          <w:tcPr>
            <w:tcW w:type="dxa" w:w="27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Incident response</w:t>
            </w:r>
          </w:p>
        </w:tc>
        <w:tc>
          <w:tcPr>
            <w:tcW w:type="dxa" w:w="87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</w:p>
        </w:tc>
      </w:tr>
    </w:tbl>
    <w:p>
      <w:pPr>
        <w:spacing w:after="120" w:before="0" w:line="240"/>
      </w:pP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My takeaway.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Write one thing you will do differently on Monday.</w:t>
      </w:r>
    </w:p>
    <w:p>
      <w:pPr>
        <w:spacing w:after="0" w:before="0" w:line="20" w:lineRule="exact"/>
      </w:pPr>
      <w:r>
        <w:br w:type="page"/>
      </w:r>
    </w:p>
    <w:p>
      <w:pPr>
        <w:pStyle w:val="Heading2"/>
      </w:pPr>
      <w:r>
        <w:t xml:space="preserve">Glossary</w:t>
      </w:r>
    </w:p>
    <w:p>
      <w:pPr>
        <w:pStyle w:val="ListParagraph"/>
        <w:numPr>
          <w:ilvl w:val="0"/>
          <w:numId w:val="2"/>
        </w:numPr>
        <w:spacing w:after="6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OpenTelemetry (OTel):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an open standard for producing, collecting and sending telemetry. It stores nothing.</w:t>
      </w:r>
    </w:p>
    <w:p>
      <w:pPr>
        <w:pStyle w:val="ListParagraph"/>
        <w:numPr>
          <w:ilvl w:val="0"/>
          <w:numId w:val="2"/>
        </w:numPr>
        <w:spacing w:after="6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OTLP: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OTel's wire protocol. gRPC on port 4317, HTTP on port 4318.</w:t>
      </w:r>
    </w:p>
    <w:p>
      <w:pPr>
        <w:pStyle w:val="ListParagraph"/>
        <w:numPr>
          <w:ilvl w:val="0"/>
          <w:numId w:val="2"/>
        </w:numPr>
        <w:spacing w:after="6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Collector: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the OTel component that receives, processes and routes telemetry. A security control point.</w:t>
      </w:r>
    </w:p>
    <w:p>
      <w:pPr>
        <w:pStyle w:val="ListParagraph"/>
        <w:numPr>
          <w:ilvl w:val="0"/>
          <w:numId w:val="2"/>
        </w:numPr>
        <w:spacing w:after="6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Event: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a timestamped structured log record, such as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tool_result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. The audit trail.</w:t>
      </w:r>
    </w:p>
    <w:p>
      <w:pPr>
        <w:pStyle w:val="ListParagraph"/>
        <w:numPr>
          <w:ilvl w:val="0"/>
          <w:numId w:val="2"/>
        </w:numPr>
        <w:spacing w:after="6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Trace and span: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a trace is one prompt as a tree; each span is one action in it.</w:t>
      </w:r>
    </w:p>
    <w:p>
      <w:pPr>
        <w:pStyle w:val="ListParagraph"/>
        <w:numPr>
          <w:ilvl w:val="0"/>
          <w:numId w:val="2"/>
        </w:numPr>
        <w:spacing w:after="60" w:before="0" w:line="324" w:lineRule="auto"/>
      </w:pPr>
      <w:r>
        <w:rPr>
          <w:rFonts w:ascii="Consolas" w:cs="Consolas" w:eastAsia="Consolas" w:hAnsi="Consolas"/>
          <w:b/>
          <w:bCs/>
          <w:color w:val="262626"/>
          <w:sz w:val="20"/>
          <w:szCs w:val="20"/>
          <w:shd w:fill="F5F7FA" w:color="auto" w:val="clear"/>
        </w:rPr>
        <w:t xml:space="preserve">prompt.id</w:t>
      </w: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the ID shared by every event one prompt caused.</w:t>
      </w:r>
    </w:p>
    <w:p>
      <w:pPr>
        <w:pStyle w:val="ListParagraph"/>
        <w:numPr>
          <w:ilvl w:val="0"/>
          <w:numId w:val="2"/>
        </w:numPr>
        <w:spacing w:after="60" w:before="0" w:line="324" w:lineRule="auto"/>
      </w:pPr>
      <w:r>
        <w:rPr>
          <w:rFonts w:ascii="Consolas" w:cs="Consolas" w:eastAsia="Consolas" w:hAnsi="Consolas"/>
          <w:b/>
          <w:bCs/>
          <w:color w:val="262626"/>
          <w:sz w:val="20"/>
          <w:szCs w:val="20"/>
          <w:shd w:fill="F5F7FA" w:color="auto" w:val="clear"/>
        </w:rPr>
        <w:t xml:space="preserve">enduser.id</w:t>
      </w: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an attribute you set to put a person on every event when the sign-in doesn't.</w:t>
      </w:r>
    </w:p>
    <w:p>
      <w:pPr>
        <w:pStyle w:val="ListParagraph"/>
        <w:numPr>
          <w:ilvl w:val="0"/>
          <w:numId w:val="2"/>
        </w:numPr>
        <w:spacing w:after="6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LGTM: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Loki, Grafana, Tempo and Mimir or Prometheus: Grafana's open source observability stack. The lab image uses Prometheus for metrics.</w:t>
      </w:r>
    </w:p>
    <w:p>
      <w:pPr>
        <w:pStyle w:val="ListParagraph"/>
        <w:numPr>
          <w:ilvl w:val="0"/>
          <w:numId w:val="2"/>
        </w:numPr>
        <w:spacing w:after="6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LogQL: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Loki's query language.</w:t>
      </w:r>
    </w:p>
    <w:p>
      <w:pPr>
        <w:pStyle w:val="ListParagraph"/>
        <w:numPr>
          <w:ilvl w:val="0"/>
          <w:numId w:val="2"/>
        </w:numPr>
        <w:spacing w:after="6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Managed settings: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settings an organization deploys that users and repositories can't override.</w:t>
      </w:r>
    </w:p>
    <w:p>
      <w:pPr>
        <w:pStyle w:val="ListParagraph"/>
        <w:numPr>
          <w:ilvl w:val="0"/>
          <w:numId w:val="2"/>
        </w:numPr>
        <w:spacing w:after="6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Virtual key: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a key the gateway issues and checks, standing in for the real provider key.</w:t>
      </w:r>
    </w:p>
    <w:p>
      <w:pPr>
        <w:pStyle w:val="ListParagraph"/>
        <w:numPr>
          <w:ilvl w:val="0"/>
          <w:numId w:val="2"/>
        </w:numPr>
        <w:spacing w:after="6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Strict mode: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agentgateway's setting that rejects any request without a valid key.</w:t>
      </w:r>
    </w:p>
    <w:p>
      <w:pPr>
        <w:keepNext/>
        <w:spacing w:after="240" w:before="360"/>
      </w:pPr>
      <w:r>
        <w:drawing>
          <wp:inline distT="0" distB="0" distL="0" distR="0">
            <wp:extent cx="5943600" cy="38100"/>
            <wp:effectExtent t="0" r="0" b="0" l="0"/>
            <wp:docPr id="3" name="WWT gradient rule" descr="WWT gradient rule" title="WWT gradient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drawing>
          <wp:inline distT="0" distB="0" distL="0" distR="0">
            <wp:extent cx="1524000" cy="314325"/>
            <wp:effectExtent t="0" r="0" b="0" l="0"/>
            <wp:docPr id="4" name="World Wide Technology" descr="World Wide Technology" title="World Wide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Arial" w:cs="Arial" w:eastAsia="Arial" w:hAnsi="Arial"/>
          <w:color w:val="0086EA"/>
          <w:sz w:val="36"/>
          <w:szCs w:val="36"/>
        </w:rPr>
        <w:t xml:space="preserve">Make a new world happen</w:t>
      </w:r>
    </w:p>
    <w:p>
      <w:pPr>
        <w:jc w:val="center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wwt.com</w:t>
      </w:r>
    </w:p>
    <w:sectPr>
      <w:headerReference w:type="default" r:id="rId6"/>
      <w:footerReference w:type="default" r:id="rId7"/>
      <w:type w:val="nextPage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inline distT="0" distB="0" distL="0" distR="0">
          <wp:extent cx="5943600" cy="38100"/>
          <wp:effectExtent t="0" r="0" b="0" l="0"/>
          <wp:docPr id="5" name="WWT gradient rule" descr="WWT gradient rule" title="WWT gradient ru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38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tabs>
        <w:tab w:val="right" w:pos="9360"/>
      </w:tabs>
      <w:spacing w:after="0" w:before="80"/>
    </w:pPr>
    <w:r>
      <w:rPr>
        <w:rFonts w:ascii="Arial" w:cs="Arial" w:eastAsia="Arial" w:hAnsi="Arial"/>
        <w:color w:val="5B6676"/>
        <w:sz w:val="18"/>
        <w:szCs w:val="18"/>
      </w:rPr>
      <w:t xml:space="preserve">World Wide Technology</w:t>
    </w:r>
    <w:r>
      <w:rPr>
        <w:rFonts w:ascii="Arial" w:cs="Arial" w:eastAsia="Arial" w:hAnsi="Arial"/>
        <w:color w:val="5B6676"/>
        <w:sz w:val="18"/>
        <w:szCs w:val="18"/>
      </w:rPr>
      <w:t xml:space="preserve">	Page </w:t>
    </w:r>
    <w:r>
      <w:rPr>
        <w:rFonts w:ascii="Arial" w:cs="Arial" w:eastAsia="Arial" w:hAnsi="Arial"/>
        <w:color w:val="5B66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80" w:before="0"/>
    </w:pPr>
    <w:r>
      <w:drawing>
        <wp:inline distT="0" distB="0" distL="0" distR="0">
          <wp:extent cx="685800" cy="342900"/>
          <wp:effectExtent t="0" r="0" b="0" l="0"/>
          <wp:docPr id="6" name="WWT monogram" descr="WWT monogram" title="WWT monogra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B6676"/>
        <w:sz w:val="18"/>
        <w:szCs w:val="18"/>
      </w:rPr>
      <w:t xml:space="preserve">	</w:t>
      <w:t xml:space="preserve">Workbook for Observability Foundations for Claude Code: SecOps Edition</w:t>
    </w:r>
  </w:p>
  <w:p>
    <w:pPr>
      <w:spacing w:after="0" w:before="0"/>
    </w:pPr>
    <w:r>
      <w:drawing>
        <wp:inline distT="0" distB="0" distL="0" distR="0">
          <wp:extent cx="5943600" cy="38100"/>
          <wp:effectExtent t="0" r="0" b="0" l="0"/>
          <wp:docPr id="7" name="WWT gradient rule" descr="WWT gradient rule" title="WWT gradient ru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38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440" w:hanging="360"/>
      </w:pPr>
      <w:rPr>
        <w:rFonts w:ascii="Arial" w:cs="Arial" w:eastAsia="Arial" w:hAnsi="Arial"/>
      </w:rPr>
    </w:lvl>
  </w:abstractNum>
  <w:abstractNum w:abstractNumId="6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800" w:hanging="360"/>
      </w:pPr>
      <w:rPr>
        <w:rFonts w:ascii="Arial" w:cs="Arial" w:eastAsia="Arial" w:hAnsi="Arial"/>
      </w:rPr>
    </w:lvl>
  </w:abstractNum>
  <w:abstractNum w:abstractNumId="7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21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20" w:before="360" w:line="240" w:lineRule="auto"/>
    </w:pPr>
    <w:rPr>
      <w:rFonts w:ascii="Arial" w:cs="Arial" w:eastAsia="Arial" w:hAnsi="Arial"/>
      <w:b/>
      <w:bCs/>
      <w:color w:val="0086EA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after="100" w:before="280" w:line="324" w:lineRule="auto"/>
    </w:pPr>
    <w:rPr>
      <w:rFonts w:ascii="Arial" w:cs="Arial" w:eastAsia="Arial" w:hAnsi="Arial"/>
      <w:b/>
      <w:bCs/>
      <w:color w:val="0086EA"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spacing w:after="80" w:before="200" w:line="324" w:lineRule="auto"/>
    </w:pPr>
    <w:rPr>
      <w:rFonts w:ascii="Arial" w:cs="Arial" w:eastAsia="Arial" w:hAnsi="Arial"/>
      <w:b/>
      <w:bCs/>
      <w:color w:val="0086EA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pPr>
      <w:spacing w:line="276"/>
    </w:pPr>
    <w:rPr>
      <w:rFonts w:ascii="Consolas" w:cs="Consolas" w:eastAsia="Consolas" w:hAnsi="Consolas"/>
      <w:color w:val="262626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e97c583a668dfef79f10667d7a1b5224cd4429b.png"/><Relationship Id="rId10" Type="http://schemas.openxmlformats.org/officeDocument/2006/relationships/image" Target="media/a55f172c5b280ae950bc373c632d70ca4470be2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55f172c5b280ae950bc373c632d70ca4470be23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55f172c5b280ae950bc373c632d70ca4470be23.png"/><Relationship Id="rId1" Type="http://schemas.openxmlformats.org/officeDocument/2006/relationships/image" Target="media/1a1192947337438b0a5b41253be5b8bbd16624a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Workbook for Observability Foundations for Claude Code: SecOps Edition</dc:title>
  <dc:creator>World Wide Technology</dc:creator>
  <dc:description>Participant workbook</dc:description>
  <cp:lastModifiedBy>World Wide Technology</cp:lastModifiedBy>
  <cp:revision>1</cp:revision>
  <dcterms:created xsi:type="dcterms:W3CDTF">2026-10-01T00:00:00Z</dcterms:created>
  <dcterms:modified xsi:type="dcterms:W3CDTF">2026-10-01T00:00:00Z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