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0" w:after="20" w:lineRule="exact" w:line="386"/>
        <w:jc w:val="center"/>
      </w:pPr>
      <w:r>
        <w:rPr>
          <w:rFonts w:ascii="Times New Roman" w:hAnsi="Times New Roman" w:cs="Times New Roman" w:eastAsia="標楷體"/>
          <w:b/>
          <w:sz w:val="28"/>
          <w:lang w:eastAsia="zh-TW"/>
        </w:rPr>
        <w:t>CAD Design Project 3：Standard Cell Detailed Placement 報告</w:t>
      </w:r>
    </w:p>
    <w:p>
      <w:pPr>
        <w:snapToGrid w:val="0"/>
        <w:spacing w:before="0" w:after="80" w:lineRule="exact" w:line="276"/>
        <w:jc w:val="center"/>
      </w:pPr>
      <w:r>
        <w:rPr>
          <w:rFonts w:ascii="Times New Roman" w:hAnsi="Times New Roman" w:cs="Times New Roman" w:eastAsia="標楷體"/>
          <w:sz w:val="20"/>
          <w:lang w:eastAsia="zh-TW"/>
        </w:rPr>
        <w:t>課程：CAD Design　｜　學號：M11515075　｜　姓名：陳冠宇</w:t>
      </w:r>
    </w:p>
    <w:p>
      <w:pPr>
        <w:keepNext/>
        <w:snapToGrid w:val="0"/>
        <w:spacing w:before="0" w:after="40" w:lineRule="exact" w:line="310"/>
        <w:outlineLvl w:val="0"/>
      </w:pPr>
      <w:r>
        <w:rPr>
          <w:rFonts w:ascii="Times New Roman" w:hAnsi="Times New Roman" w:cs="Times New Roman" w:eastAsia="標楷體"/>
          <w:b/>
          <w:sz w:val="23"/>
          <w:lang w:eastAsia="zh-TW"/>
        </w:rPr>
        <w:t>1. 概述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sz w:val="20"/>
          <w:lang w:eastAsia="zh-TW"/>
        </w:rPr>
        <w:t xml:space="preserve">本專案以 C++17（僅用標準函式庫）實作 detailed placer </w:t>
      </w:r>
      <w:r>
        <w:rPr>
          <w:rFonts w:ascii="Times New Roman" w:hAnsi="Times New Roman" w:cs="Times New Roman" w:eastAsia="標楷體"/>
          <w:i/>
          <w:sz w:val="20"/>
          <w:lang w:eastAsia="zh-TW"/>
        </w:rPr>
        <w:t>dp</w:t>
      </w:r>
      <w:r>
        <w:rPr>
          <w:rFonts w:ascii="Times New Roman" w:hAnsi="Times New Roman" w:cs="Times New Roman" w:eastAsia="標楷體"/>
          <w:sz w:val="20"/>
          <w:lang w:eastAsia="zh-TW"/>
        </w:rPr>
        <w:t>：讀入 GSRC Bookshelf 格式的 global placement（GP），Stage 1 進行 legalization，同時最小化 total 與 maximum displacement（D_total、D_max）；Stage 2 以 simulated annealing（SA）在全程維持 legality 的前提下最小化 HPWL（以 cell center 計算，所有 net 權重為 1）。每個 case 時限 60 s（含 I/O），因此 SA 在程式啟動後 45 s 強制停止；Stage 1 的改善步驟另設 10 s 安全期限（實測 Stage 1 最多 1.04 s）。所有結果寫檔前都經 dp 內部完整的 legality 檢查，並以獨立撰寫的 checker 再驗證。</w:t>
      </w:r>
    </w:p>
    <w:p>
      <w:pPr>
        <w:keepNext/>
        <w:snapToGrid w:val="0"/>
        <w:spacing w:before="80" w:after="40" w:lineRule="exact" w:line="310"/>
        <w:outlineLvl w:val="0"/>
      </w:pPr>
      <w:r>
        <w:rPr>
          <w:rFonts w:ascii="Times New Roman" w:hAnsi="Times New Roman" w:cs="Times New Roman" w:eastAsia="標楷體"/>
          <w:b/>
          <w:sz w:val="23"/>
          <w:lang w:eastAsia="zh-TW"/>
        </w:rPr>
        <w:t>2. Stage 1：初始 legal 解的建構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Row model：</w:t>
      </w:r>
      <w:r>
        <w:rPr>
          <w:rFonts w:ascii="Times New Roman" w:hAnsi="Times New Roman" w:cs="Times New Roman" w:eastAsia="標楷體"/>
          <w:sz w:val="20"/>
          <w:lang w:eastAsia="zh-TW"/>
        </w:rPr>
        <w:t>每個 subrow 被與其重疊的 fixed terminal（terminal_NI 除外）切成 free segment；所有位置以 segment 內的整數 site index 表示，site alignment 由資料結構直接保證。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Abacus（Spindler et al., ISPD'08）：</w:t>
      </w:r>
      <w:r>
        <w:rPr>
          <w:rFonts w:ascii="Times New Roman" w:hAnsi="Times New Roman" w:cs="Times New Roman" w:eastAsia="標楷體"/>
          <w:sz w:val="20"/>
          <w:lang w:eastAsia="zh-TW"/>
        </w:rPr>
        <w:t>cell 依 global x 排序；每個 cell 依 |Δy| 由近到遠拜訪 row，row 內依水平距離拜訪 segment，以 cluster collapse 做 trial placement。當 Δy（或 segment 的水平下界）已不小於目前最佳 cost 即停止搜尋，因此不需固定 row 視窗，且對 Abacus cost 而言是精確搜尋。cluster 以四捨五入 snap 到 site；此映射單調，不會產生 overlap。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Fallback：</w:t>
      </w:r>
      <w:r>
        <w:rPr>
          <w:rFonts w:ascii="Times New Roman" w:hAnsi="Times New Roman" w:cs="Times New Roman" w:eastAsia="標楷體"/>
          <w:sz w:val="20"/>
          <w:lang w:eastAsia="zh-TW"/>
        </w:rPr>
        <w:t>若碎片化的容量讓部分 cell 放不下，先放失敗的 cell（寬者優先），再改為全部寬者優先重跑；若 row 總容量確實不足則回報錯誤結束，絕不輸出 illegal 結果。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L1 reposition（含 D_max guard）：</w:t>
      </w:r>
      <w:r>
        <w:rPr>
          <w:rFonts w:ascii="Times New Roman" w:hAnsi="Times New Roman" w:cs="Times New Roman" w:eastAsia="標楷體"/>
          <w:sz w:val="20"/>
          <w:lang w:eastAsia="zh-TW"/>
        </w:rPr>
        <w:t>Abacus 最小化的是 displacement 平方和。固定 segment 內的 cell 順序後，最小化 Σ|x − x_gp| 是 isotonic regression，以 pool-adjacent-violators（block 取 median 合併）精確求解；只有在該 segment 的最大 displacement 不增加時才採用，以免犧牲 D_max。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D_max post-pass：</w:t>
      </w:r>
      <w:r>
        <w:rPr>
          <w:rFonts w:ascii="Times New Roman" w:hAnsi="Times New Roman" w:cs="Times New Roman" w:eastAsia="標楷體"/>
          <w:sz w:val="20"/>
          <w:lang w:eastAsia="zh-TW"/>
        </w:rPr>
        <w:t>(a) reduce max：反覆取目前 displacement 最大的 cell，移入最佳 free gap，或與等寬 cell 交換使兩者較大值下降；(b) reduce total：所有 cell 由差到好嘗試更佳的 gap 或交換，使兩者總和下降且不超過目前 D_max；(c) 再做一次 L1 reposition。單輪增益低於 D_total 0.1 % 且 D_max 1 % 時停止（最多 20 輪）；每次搜尋最多 40 個 row、每方向 64 個 gap／候選，避免極端 GP 拖慢執行。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Trade-off 與分析：</w:t>
      </w:r>
      <w:r>
        <w:rPr>
          <w:rFonts w:ascii="Times New Roman" w:hAnsi="Times New Roman" w:cs="Times New Roman" w:eastAsia="標楷體"/>
          <w:sz w:val="20"/>
          <w:lang w:eastAsia="zh-TW"/>
        </w:rPr>
        <w:t>D_total 與 D_max 互相牽制。reduce max 允許兩個 cell 的 displacement 總和增加，但增量不得超過最大值的降幅；reduce total 的交換則以目前 D_max 為上限，因此兩個目標都不會被另一個步驟破壞。表 1 為 12 個 case 相對於純 Abacus 的平均變化：L1 reposition 單獨使用僅 −0.4 %（Abacus 已接近 L1 最佳）；post-pass 帶來 −6.2 % / −12.4 %；post-pass 每輪都搭配 L1 時，交換與移動不斷改變 cell 順序，L1 得以持續發揮，完整 Stage 1 達到 D_total −9.4 %、D_max −21.2 %，而 Stage 1 最多只需 1.04 s。</w:t>
      </w:r>
    </w:p>
    <w:p>
      <w:pPr>
        <w:keepNext/>
        <w:snapToGrid w:val="0"/>
        <w:spacing w:before="20" w:after="20" w:lineRule="exact" w:line="248"/>
        <w:jc w:val="center"/>
      </w:pPr>
      <w:r>
        <w:rPr>
          <w:rFonts w:ascii="Times New Roman" w:hAnsi="Times New Roman" w:cs="Times New Roman" w:eastAsia="標楷體"/>
          <w:b/>
          <w:sz w:val="18"/>
          <w:lang w:eastAsia="zh-TW"/>
        </w:rPr>
        <w:t xml:space="preserve">表 </w:t>
      </w:r>
      <w:fldSimple w:instr=" SEQ 表 \* ARABIC ">
        <w:r>
          <w:rPr>
            <w:rFonts w:ascii="Times New Roman" w:hAnsi="Times New Roman" w:cs="Times New Roman" w:eastAsia="標楷體"/>
            <w:b/>
            <w:sz w:val="18"/>
          </w:rPr>
          <w:t>1</w:t>
        </w:r>
      </w:fldSimple>
      <w:r>
        <w:rPr>
          <w:rFonts w:ascii="Times New Roman" w:hAnsi="Times New Roman" w:cs="Times New Roman" w:eastAsia="標楷體"/>
          <w:b/>
          <w:sz w:val="18"/>
          <w:lang w:eastAsia="zh-TW"/>
        </w:rPr>
        <w:t>：</w:t>
      </w:r>
      <w:r>
        <w:rPr>
          <w:rFonts w:ascii="Times New Roman" w:hAnsi="Times New Roman" w:cs="Times New Roman" w:eastAsia="標楷體"/>
          <w:sz w:val="18"/>
          <w:lang w:eastAsia="zh-TW"/>
        </w:rPr>
        <w:t>Stage 1 ablation（SA 關閉；平均為 12 個 case 相對 Abacus only；input011 D_total 單位 10⁶）</w:t>
      </w:r>
    </w:p>
    <w:tbl>
      <w:tblPr>
        <w:tblW w:type="dxa" w:w="9411"/>
        <w:jc w:val="center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2948"/>
        <w:gridCol w:w="1701"/>
        <w:gridCol w:w="1701"/>
        <w:gridCol w:w="1587"/>
        <w:gridCol w:w="1474"/>
      </w:tblGrid>
      <w:tr>
        <w:trPr>
          <w:cantSplit/>
          <w:tblHeader/>
        </w:trPr>
        <w:tc>
          <w:tcPr>
            <w:tcW w:type="dxa" w:w="2948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設定</w:t>
            </w:r>
          </w:p>
        </w:tc>
        <w:tc>
          <w:tcPr>
            <w:tcW w:type="dxa" w:w="1701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D_total 平均變化 (%)</w:t>
            </w:r>
          </w:p>
        </w:tc>
        <w:tc>
          <w:tcPr>
            <w:tcW w:type="dxa" w:w="1701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D_max 平均變化 (%)</w:t>
            </w:r>
          </w:p>
        </w:tc>
        <w:tc>
          <w:tcPr>
            <w:tcW w:type="dxa" w:w="1587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input011 D_total</w:t>
            </w:r>
          </w:p>
        </w:tc>
        <w:tc>
          <w:tcPr>
            <w:tcW w:type="dxa" w:w="1474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input011 D_max</w:t>
            </w:r>
          </w:p>
        </w:tc>
      </w:tr>
      <w:tr>
        <w:trPr>
          <w:cantSplit/>
        </w:trPr>
        <w:tc>
          <w:tcPr>
            <w:tcW w:type="dxa" w:w="294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Abacus only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基準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基準</w:t>
            </w:r>
          </w:p>
        </w:tc>
        <w:tc>
          <w:tcPr>
            <w:tcW w:type="dxa" w:w="158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44.93</w:t>
            </w:r>
          </w:p>
        </w:tc>
        <w:tc>
          <w:tcPr>
            <w:tcW w:type="dxa" w:w="147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5330</w:t>
            </w:r>
          </w:p>
        </w:tc>
      </w:tr>
      <w:tr>
        <w:trPr>
          <w:cantSplit/>
        </w:trPr>
        <w:tc>
          <w:tcPr>
            <w:tcW w:type="dxa" w:w="294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 L1 reposition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−0.4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+0.0</w:t>
            </w:r>
          </w:p>
        </w:tc>
        <w:tc>
          <w:tcPr>
            <w:tcW w:type="dxa" w:w="158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44.74</w:t>
            </w:r>
          </w:p>
        </w:tc>
        <w:tc>
          <w:tcPr>
            <w:tcW w:type="dxa" w:w="147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5330</w:t>
            </w:r>
          </w:p>
        </w:tc>
      </w:tr>
      <w:tr>
        <w:trPr>
          <w:cantSplit/>
        </w:trPr>
        <w:tc>
          <w:tcPr>
            <w:tcW w:type="dxa" w:w="294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 post-pass（無 L1）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−6.2</w:t>
            </w:r>
          </w:p>
        </w:tc>
        <w:tc>
          <w:tcPr>
            <w:tcW w:type="dxa" w:w="170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−12.4</w:t>
            </w:r>
          </w:p>
        </w:tc>
        <w:tc>
          <w:tcPr>
            <w:tcW w:type="dxa" w:w="158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41.61</w:t>
            </w:r>
          </w:p>
        </w:tc>
        <w:tc>
          <w:tcPr>
            <w:tcW w:type="dxa" w:w="147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4686</w:t>
            </w:r>
          </w:p>
        </w:tc>
      </w:tr>
      <w:tr>
        <w:trPr>
          <w:cantSplit/>
        </w:trPr>
        <w:tc>
          <w:tcPr>
            <w:tcW w:type="dxa" w:w="2948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完整 Stage 1（post-pass + L1）</w:t>
            </w:r>
          </w:p>
        </w:tc>
        <w:tc>
          <w:tcPr>
            <w:tcW w:type="dxa" w:w="1701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−9.4</w:t>
            </w:r>
          </w:p>
        </w:tc>
        <w:tc>
          <w:tcPr>
            <w:tcW w:type="dxa" w:w="1701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−21.2</w:t>
            </w:r>
          </w:p>
        </w:tc>
        <w:tc>
          <w:tcPr>
            <w:tcW w:type="dxa" w:w="1587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39.67</w:t>
            </w:r>
          </w:p>
        </w:tc>
        <w:tc>
          <w:tcPr>
            <w:tcW w:type="dxa" w:w="1474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4290</w:t>
            </w:r>
          </w:p>
        </w:tc>
      </w:tr>
    </w:tbl>
    <w:p>
      <w:pPr>
        <w:keepNext/>
        <w:snapToGrid w:val="0"/>
        <w:spacing w:before="80" w:after="40" w:lineRule="exact" w:line="310"/>
        <w:outlineLvl w:val="0"/>
      </w:pPr>
      <w:r>
        <w:rPr>
          <w:rFonts w:ascii="Times New Roman" w:hAnsi="Times New Roman" w:cs="Times New Roman" w:eastAsia="標楷體"/>
          <w:b/>
          <w:sz w:val="23"/>
          <w:lang w:eastAsia="zh-TW"/>
        </w:rPr>
        <w:t>3. Stage 2：SA 設計與 legality 維持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Occupancy grid：</w:t>
      </w:r>
      <w:r>
        <w:rPr>
          <w:rFonts w:ascii="Times New Roman" w:hAnsi="Times New Roman" w:cs="Times New Roman" w:eastAsia="標楷體"/>
          <w:sz w:val="20"/>
          <w:lang w:eastAsia="zh-TW"/>
        </w:rPr>
        <w:t>每個 free segment 維護一個 site → cell 的 occupancy array。每個 move 只檢查目標 site 是否空著或屬於被移動的 cell，因此任何時刻 placement 都是 legal，不需要事後 repair。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Move types：</w:t>
      </w:r>
      <w:r>
        <w:rPr>
          <w:rFonts w:ascii="Times New Roman" w:hAnsi="Times New Roman" w:cs="Times New Roman" w:eastAsia="標楷體"/>
          <w:sz w:val="20"/>
          <w:lang w:eastAsia="zh-TW"/>
        </w:rPr>
        <w:t>隨機選一個 movable cell。(1) 40 % optimal region：以該 cell 所有 net（不含自己）bounding box 的 median 為目標（受 range window 限制）；目標有空位就移入，被等寬 cell 佔用就交換，被不同寬度 cell 佔用且兩者都放得進對方的 slot（自身 site 加相鄰空 site）就做 generalized swap，否則移到同 segment 最近的足夠空位；(2) 20 % random window：同上，但目標是 window 內的隨機點；(3) 20 % adjacent swap：與同 row 右鄰交換並保持兩者總跨距；(4) 20 % in-gap shift：在周圍空隙內移動，一半機率朝 optimal x。四者產生合法 proposal 的比例分別為 56.4 %、68.0 %、99.5 %、17.5 %；optimal region 的「失敗」多半是 cell 已在最佳區域內，屬正常行為。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Incremental HPWL：</w:t>
      </w:r>
      <w:r>
        <w:rPr>
          <w:rFonts w:ascii="Times New Roman" w:hAnsi="Times New Roman" w:cs="Times New Roman" w:eastAsia="標楷體"/>
          <w:sz w:val="20"/>
          <w:lang w:eastAsia="zh-TW"/>
        </w:rPr>
        <w:t>每個 net 快取 bounding box 與各邊上的 pin 數；move 只更新相關 net，只有當某邊失去最後一個 pin 時才重算（pin 數少於 12 的 net 直接重算較快）。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Temperature schedule：</w:t>
      </w:r>
      <w:r>
        <w:rPr>
          <w:rFonts w:ascii="Times New Roman" w:hAnsi="Times New Roman" w:cs="Times New Roman" w:eastAsia="標楷體"/>
          <w:sz w:val="20"/>
          <w:lang w:eastAsia="zh-TW"/>
        </w:rPr>
        <w:t>T0 由取樣的 uphill Δ 決定，使約 1 % 的 uphill move 被接受——起點已是良好的 legal 解，若用 20 % 會差 1.5 %。冷卻採 VPR 式、依 acceptance rate 調整的 α（0.5／0.9／0.95／0.95），低接受率區間用 0.95（比 0.8 好 0.45 %）；必要時再加速，使 T 在 45 s 前降到 1e-4·T0。range window 由晶片的 10 % 開始，依 44 % 目標接受率調整；每個溫度 20 moves/cell，大設計自動減少以容納約 150 個溫度。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Stopping rule：</w:t>
      </w:r>
      <w:r>
        <w:rPr>
          <w:rFonts w:ascii="Times New Roman" w:hAnsi="Times New Roman" w:cs="Times New Roman" w:eastAsia="標楷體"/>
          <w:sz w:val="20"/>
          <w:lang w:eastAsia="zh-TW"/>
        </w:rPr>
        <w:t>45 s hard cap；或 acceptance rate &lt; 5 %，且 best 在最近 5 個溫度（至少 10 moves/cell）內改善 &lt; 0.01 % 時提前停止。ΔHPWL = 0 的 move 仍接受（探索平坦區），但不計入 acceptance rate，否則接受率在 T≈0 時仍偏高、永遠不會提前停止。</w:t>
      </w:r>
    </w:p>
    <w:p>
      <w:pPr>
        <w:snapToGrid w:val="0"/>
        <w:spacing w:before="0" w:after="20" w:lineRule="exact" w:line="276"/>
        <w:ind w:left="200" w:hanging="2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▸ Best-so-far journal：</w:t>
      </w:r>
      <w:r>
        <w:rPr>
          <w:rFonts w:ascii="Times New Roman" w:hAnsi="Times New Roman" w:cs="Times New Roman" w:eastAsia="標楷體"/>
          <w:sz w:val="20"/>
          <w:lang w:eastAsia="zh-TW"/>
        </w:rPr>
        <w:t>記錄自上次 snapshot 後改變過的 cell（per-cell dirty flag，長度不超過 cell 數）；current 優於 best 時只複製這些 cell。因此 CSV 與 stdout 上的 best HPWL 一定對應實際儲存的 placement；輸出前再從頭重算 HPWL 並做 legality 檢查。</w:t>
      </w:r>
    </w:p>
    <w:p>
      <w:pPr>
        <w:keepNext/>
        <w:snapToGrid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392000" cy="26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20" w:after="60" w:lineRule="exact" w:line="248"/>
        <w:jc w:val="center"/>
      </w:pPr>
      <w:r>
        <w:rPr>
          <w:rFonts w:ascii="Times New Roman" w:hAnsi="Times New Roman" w:cs="Times New Roman" w:eastAsia="標楷體"/>
          <w:b/>
          <w:sz w:val="18"/>
          <w:lang w:eastAsia="zh-TW"/>
        </w:rPr>
        <w:t xml:space="preserve">圖 </w:t>
      </w:r>
      <w:fldSimple w:instr=" SEQ 圖 \* ARABIC ">
        <w:r>
          <w:rPr>
            <w:rFonts w:ascii="Times New Roman" w:hAnsi="Times New Roman" w:cs="Times New Roman" w:eastAsia="標楷體"/>
            <w:b/>
            <w:sz w:val="18"/>
          </w:rPr>
          <w:t>1</w:t>
        </w:r>
      </w:fldSimple>
      <w:r>
        <w:rPr>
          <w:rFonts w:ascii="Times New Roman" w:hAnsi="Times New Roman" w:cs="Times New Roman" w:eastAsia="標楷體"/>
          <w:b/>
          <w:sz w:val="18"/>
          <w:lang w:eastAsia="zh-TW"/>
        </w:rPr>
        <w:t>：</w:t>
      </w:r>
      <w:r>
        <w:rPr>
          <w:rFonts w:ascii="Times New Roman" w:hAnsi="Times New Roman" w:cs="Times New Roman" w:eastAsia="標楷體"/>
          <w:sz w:val="18"/>
          <w:lang w:eastAsia="zh-TW"/>
        </w:rPr>
        <w:t>Current／best-so-far HPWL 與 temperature 對 attempted SA iterations（ibm12-cu85；左 mild、右 harsh GP）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觀察與設計理由：</w:t>
      </w:r>
      <w:r>
        <w:rPr>
          <w:rFonts w:ascii="Times New Roman" w:hAnsi="Times New Roman" w:cs="Times New Roman" w:eastAsia="標楷體"/>
          <w:sz w:val="20"/>
          <w:lang w:eastAsia="zh-TW"/>
        </w:rPr>
        <w:t>mild GP 的起點已接近良好解，SA 先經過一段 hot-phase hump：current HPWL 最多上升 7.1 %，直到 13.2 % 的 iterations 才回到起點以下，這是為了跳出 local minimum 而付出的探索成本；之後快速下降，best-so-far 最終 −13.2 %。harsh GP 離最佳解較遠，從第一步就開始下降，最終 −25.9 %。兩者溫度都平穩地依指數下降，且在 45 s cap 時仍緩慢改善，代表此規模（約 6.9 萬 cells）下 SA 受時間限制，因此 move 的效率（例如以一次線性掃描找最近空位）直接轉換為品質；ibm01（12,028 cells）則在 20.4–24.5 s 收斂並提前停止。</w:t>
      </w:r>
    </w:p>
    <w:p>
      <w:pPr>
        <w:keepNext/>
        <w:snapToGrid w:val="0"/>
        <w:spacing w:before="80" w:after="40" w:lineRule="exact" w:line="310"/>
        <w:outlineLvl w:val="0"/>
      </w:pPr>
      <w:r>
        <w:rPr>
          <w:rFonts w:ascii="Times New Roman" w:hAnsi="Times New Roman" w:cs="Times New Roman" w:eastAsia="標楷體"/>
          <w:b/>
          <w:sz w:val="23"/>
          <w:lang w:eastAsia="zh-TW"/>
        </w:rPr>
        <w:t>4. 實驗結果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測資：</w:t>
      </w:r>
      <w:r>
        <w:rPr>
          <w:rFonts w:ascii="Times New Roman" w:hAnsi="Times New Roman" w:cs="Times New Roman" w:eastAsia="標楷體"/>
          <w:sz w:val="20"/>
          <w:lang w:eastAsia="zh-TW"/>
        </w:rPr>
        <w:t>取自 ibm-place2 的 ibm01／ibm10／ibm12，全部 6 個 utilization variant（cu85–cu95），12,028–68,735 cells。原始 .pl 把所有 movable cell 都放在 (0, 0)，因此以 Dragon 的 legal placement 加上 Gaussian noise 作為 GP：mild σ = 1 row／10 sites（input001–006），harsh σ = 3 rows／30 sites（input007–012），seed 1。Dragon placement 因而是同一 GP 的已知 legal 解，作為 D_total／D_max 與 HPWL 的參考（表 2）。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Stage 1 與 SA 結果：</w:t>
      </w:r>
      <w:r>
        <w:rPr>
          <w:rFonts w:ascii="Times New Roman" w:hAnsi="Times New Roman" w:cs="Times New Roman" w:eastAsia="標楷體"/>
          <w:sz w:val="20"/>
          <w:lang w:eastAsia="zh-TW"/>
        </w:rPr>
        <w:t>Stage 1 的 D_total 為 Dragon 的 48–60 %（mild）與 18–24 %（harsh）；D_max 在 12 個 case 中有 10 個低於 Dragon，例外為 input004（3939 vs 3920）、input006（4101 vs 3920），兩者都是該 benchmark 中 utilization 較高的 variant。SA 在相同輸入上使 HPWL 下降 11.5–51.2 %，且 12 個 case 全部低於 Dragon 的 HPWL（−2.4 % 至 −18.5 %）。最長執行時間 45.11 s、peak memory 最多 48.5 MB，checker 全部 PASS。</w:t>
      </w:r>
    </w:p>
    <w:p>
      <w:pPr>
        <w:keepNext/>
        <w:snapToGrid w:val="0"/>
        <w:spacing w:before="20" w:after="20" w:lineRule="exact" w:line="248"/>
        <w:jc w:val="center"/>
      </w:pPr>
      <w:r>
        <w:rPr>
          <w:rFonts w:ascii="Times New Roman" w:hAnsi="Times New Roman" w:cs="Times New Roman" w:eastAsia="標楷體"/>
          <w:b/>
          <w:sz w:val="18"/>
          <w:lang w:eastAsia="zh-TW"/>
        </w:rPr>
        <w:t xml:space="preserve">表 </w:t>
      </w:r>
      <w:fldSimple w:instr=" SEQ 表 \* ARABIC ">
        <w:r>
          <w:rPr>
            <w:rFonts w:ascii="Times New Roman" w:hAnsi="Times New Roman" w:cs="Times New Roman" w:eastAsia="標楷體"/>
            <w:b/>
            <w:sz w:val="18"/>
          </w:rPr>
          <w:t>2</w:t>
        </w:r>
      </w:fldSimple>
      <w:r>
        <w:rPr>
          <w:rFonts w:ascii="Times New Roman" w:hAnsi="Times New Roman" w:cs="Times New Roman" w:eastAsia="標楷體"/>
          <w:b/>
          <w:sz w:val="18"/>
          <w:lang w:eastAsia="zh-TW"/>
        </w:rPr>
        <w:t>：</w:t>
      </w:r>
      <w:r>
        <w:rPr>
          <w:rFonts w:ascii="Times New Roman" w:hAnsi="Times New Roman" w:cs="Times New Roman" w:eastAsia="標楷體"/>
          <w:sz w:val="18"/>
          <w:lang w:eastAsia="zh-TW"/>
        </w:rPr>
        <w:t>最終結果（D_total、D_max 欄為 ours / Dragon；D_total 與 HPWL 單位為 10⁶）</w:t>
      </w:r>
    </w:p>
    <w:tbl>
      <w:tblPr>
        <w:tblW w:type="dxa" w:w="9581"/>
        <w:jc w:val="center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510"/>
        <w:gridCol w:w="1361"/>
        <w:gridCol w:w="1361"/>
        <w:gridCol w:w="1247"/>
        <w:gridCol w:w="1134"/>
        <w:gridCol w:w="964"/>
        <w:gridCol w:w="1077"/>
        <w:gridCol w:w="1191"/>
        <w:gridCol w:w="737"/>
      </w:tblGrid>
      <w:tr>
        <w:trPr>
          <w:cantSplit/>
          <w:tblHeader/>
        </w:trPr>
        <w:tc>
          <w:tcPr>
            <w:tcW w:type="dxa" w:w="510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case</w:t>
            </w:r>
          </w:p>
        </w:tc>
        <w:tc>
          <w:tcPr>
            <w:tcW w:type="dxa" w:w="1361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來源</w:t>
            </w:r>
          </w:p>
        </w:tc>
        <w:tc>
          <w:tcPr>
            <w:tcW w:type="dxa" w:w="1361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D_total</w:t>
            </w:r>
          </w:p>
        </w:tc>
        <w:tc>
          <w:tcPr>
            <w:tcW w:type="dxa" w:w="1247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D_max</w:t>
            </w:r>
          </w:p>
        </w:tc>
        <w:tc>
          <w:tcPr>
            <w:tcW w:type="dxa" w:w="1134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HPWL legal</w:t>
            </w:r>
          </w:p>
        </w:tc>
        <w:tc>
          <w:tcPr>
            <w:tcW w:type="dxa" w:w="964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HPWL SA</w:t>
            </w:r>
          </w:p>
        </w:tc>
        <w:tc>
          <w:tcPr>
            <w:tcW w:type="dxa" w:w="1077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SA 變化 (%)</w:t>
            </w:r>
          </w:p>
        </w:tc>
        <w:tc>
          <w:tcPr>
            <w:tcW w:type="dxa" w:w="1191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vs Dragon (%)</w:t>
            </w:r>
          </w:p>
        </w:tc>
        <w:tc>
          <w:tcPr>
            <w:tcW w:type="dxa" w:w="737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時間 (s)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001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ibm01-cu85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5.24 / 10.99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3115 / 3710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68.28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48.06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−29.6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−18.3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20.4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002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ibm01-cu88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5.44 / 10.99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2171 / 3710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68.29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49.16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−28.0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−15.8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23.3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003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ibm10-cu90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29.94 / 61.86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3376 / 3920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659.97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578.38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−12.4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−5.2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004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ibm10-cu95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37.00 / 61.81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3939 / 3920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660.26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584.08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−11.5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−3.8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005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ibm12-cu85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33.94 / 63.64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3249 / 3920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914.58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790.65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−13.6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−8.7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006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ibm12-cu90 mild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35.75 / 63.67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4101 / 3920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908.24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801.80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−11.7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−6.5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007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ibm01-cu85 harsh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5.99 / 32.62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3733 / 11131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98.25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47.94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−51.2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−18.5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24.3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008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ibm01-cu88 harsh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6.34 / 32.59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2959 / 10014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98.56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49.26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−50.0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−15.7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24.5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009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ibm10-cu90 harsh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35.52 / 184.75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3760 / 11761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823.95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581.85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−29.4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−4.6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010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ibm10-cu95 harsh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44.88 / 184.62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5158 / 11761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824.33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592.73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−28.1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−2.4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011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ibm12-cu85 harsh</w:t>
            </w:r>
          </w:p>
        </w:tc>
        <w:tc>
          <w:tcPr>
            <w:tcW w:type="dxa" w:w="136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39.67 / 189.99</w:t>
            </w:r>
          </w:p>
        </w:tc>
        <w:tc>
          <w:tcPr>
            <w:tcW w:type="dxa" w:w="124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4290 / 11761</w:t>
            </w:r>
          </w:p>
        </w:tc>
        <w:tc>
          <w:tcPr>
            <w:tcW w:type="dxa" w:w="113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1074.89</w:t>
            </w:r>
          </w:p>
        </w:tc>
        <w:tc>
          <w:tcPr>
            <w:tcW w:type="dxa" w:w="964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797.41</w:t>
            </w:r>
          </w:p>
        </w:tc>
        <w:tc>
          <w:tcPr>
            <w:tcW w:type="dxa" w:w="107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−25.8</w:t>
            </w:r>
          </w:p>
        </w:tc>
        <w:tc>
          <w:tcPr>
            <w:tcW w:type="dxa" w:w="1191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−7.9</w:t>
            </w:r>
          </w:p>
        </w:tc>
        <w:tc>
          <w:tcPr>
            <w:tcW w:type="dxa" w:w="737"/>
            <w:tcBorders/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  <w:tr>
        <w:trPr>
          <w:cantSplit/>
        </w:trPr>
        <w:tc>
          <w:tcPr>
            <w:tcW w:type="dxa" w:w="510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012</w:t>
            </w:r>
          </w:p>
        </w:tc>
        <w:tc>
          <w:tcPr>
            <w:tcW w:type="dxa" w:w="1361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ibm12-cu90 harsh</w:t>
            </w:r>
          </w:p>
        </w:tc>
        <w:tc>
          <w:tcPr>
            <w:tcW w:type="dxa" w:w="1361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41.66 / 190.16</w:t>
            </w:r>
          </w:p>
        </w:tc>
        <w:tc>
          <w:tcPr>
            <w:tcW w:type="dxa" w:w="1247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5043 / 11761</w:t>
            </w:r>
          </w:p>
        </w:tc>
        <w:tc>
          <w:tcPr>
            <w:tcW w:type="dxa" w:w="1134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1071.62</w:t>
            </w:r>
          </w:p>
        </w:tc>
        <w:tc>
          <w:tcPr>
            <w:tcW w:type="dxa" w:w="964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803.74</w:t>
            </w:r>
          </w:p>
        </w:tc>
        <w:tc>
          <w:tcPr>
            <w:tcW w:type="dxa" w:w="1077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−25.0</w:t>
            </w:r>
          </w:p>
        </w:tc>
        <w:tc>
          <w:tcPr>
            <w:tcW w:type="dxa" w:w="1191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−6.3</w:t>
            </w:r>
          </w:p>
        </w:tc>
        <w:tc>
          <w:tcPr>
            <w:tcW w:type="dxa" w:w="737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righ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45.1</w:t>
            </w:r>
          </w:p>
        </w:tc>
      </w:tr>
    </w:tbl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SA 調校證據（表 3）：</w:t>
      </w:r>
      <w:r>
        <w:rPr>
          <w:rFonts w:ascii="Times New Roman" w:hAnsi="Times New Roman" w:cs="Times New Roman" w:eastAsia="標楷體"/>
          <w:sz w:val="20"/>
          <w:lang w:eastAsia="zh-TW"/>
        </w:rPr>
        <w:t>參數掃描以 input001／005／011 三個 case 並行執行；同一設定重複執行約有 0.4–1 % 的差異，因此小於此幅度的差異視為無效。所有 SA 調整合計使 12 個 case 的 HPWL 平均 −4.3 %，且每個 case 都變好（−2.7 % 至 −6.0 %）。</w:t>
      </w:r>
    </w:p>
    <w:p>
      <w:pPr>
        <w:keepNext/>
        <w:snapToGrid w:val="0"/>
        <w:spacing w:before="20" w:after="20" w:lineRule="exact" w:line="248"/>
        <w:jc w:val="center"/>
      </w:pPr>
      <w:r>
        <w:rPr>
          <w:rFonts w:ascii="Times New Roman" w:hAnsi="Times New Roman" w:cs="Times New Roman" w:eastAsia="標楷體"/>
          <w:b/>
          <w:sz w:val="18"/>
          <w:lang w:eastAsia="zh-TW"/>
        </w:rPr>
        <w:t xml:space="preserve">表 </w:t>
      </w:r>
      <w:fldSimple w:instr=" SEQ 表 \* ARABIC ">
        <w:r>
          <w:rPr>
            <w:rFonts w:ascii="Times New Roman" w:hAnsi="Times New Roman" w:cs="Times New Roman" w:eastAsia="標楷體"/>
            <w:b/>
            <w:sz w:val="18"/>
          </w:rPr>
          <w:t>3</w:t>
        </w:r>
      </w:fldSimple>
      <w:r>
        <w:rPr>
          <w:rFonts w:ascii="Times New Roman" w:hAnsi="Times New Roman" w:cs="Times New Roman" w:eastAsia="標楷體"/>
          <w:b/>
          <w:sz w:val="18"/>
          <w:lang w:eastAsia="zh-TW"/>
        </w:rPr>
        <w:t>：</w:t>
      </w:r>
      <w:r>
        <w:rPr>
          <w:rFonts w:ascii="Times New Roman" w:hAnsi="Times New Roman" w:cs="Times New Roman" w:eastAsia="標楷體"/>
          <w:sz w:val="18"/>
          <w:lang w:eastAsia="zh-TW"/>
        </w:rPr>
        <w:t>SA 調整的效果（負值代表 HPWL 較低；除註明外為 input001／005／011 三個 case 的平均）</w:t>
      </w:r>
    </w:p>
    <w:tbl>
      <w:tblPr>
        <w:tblW w:type="dxa" w:w="9184"/>
        <w:jc w:val="center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680"/>
        <w:gridCol w:w="4876"/>
        <w:gridCol w:w="3628"/>
      </w:tblGrid>
      <w:tr>
        <w:trPr>
          <w:cantSplit/>
          <w:tblHeader/>
        </w:trPr>
        <w:tc>
          <w:tcPr>
            <w:tcW w:type="dxa" w:w="680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</w:r>
          </w:p>
        </w:tc>
        <w:tc>
          <w:tcPr>
            <w:tcW w:type="dxa" w:w="4876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變更</w:t>
            </w:r>
          </w:p>
        </w:tc>
        <w:tc>
          <w:tcPr>
            <w:tcW w:type="dxa" w:w="3628"/>
            <w:tcBorders>
              <w:top w:val="single" w:sz="10" w:space="0" w:color="000000"/>
              <w:bottom w:val="single" w:sz="5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b/>
                <w:sz w:val="17"/>
                <w:lang w:eastAsia="zh-TW"/>
              </w:rPr>
              <w:t>效果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以一次線性掃描找最近空位（原佔 SA 時間 35 %）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input005 −0.7 %、input011 −0.6 %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T0 目標 uphill 接受率 1 %（原 20 %）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−1.5 %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低接受率區 α = 0.95（原 0.8）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−0.45 %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每溫度 20 moves/cell（原 10）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−0.8 %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提前停止另需 10 moves/cell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避免提前停止（曾於 31.8 s 停止）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ΔHPWL = 0 的 move 不計入接受率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synth_s：45 s cap → 1.6 s 收斂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保留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Generalized swap（不同寬度互換）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−1.2 %（3 case）、−1.4 %（12 case）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捨棄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較小的初始 window（10 / 3 rows）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+0.4 % / +1.0 %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捨棄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T0 uphill 接受率 0.2 %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+0.2 %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捨棄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α = 0.9 / 0.98（同為 10 moves/cell）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+0.3 % / +0.04 %</w:t>
            </w:r>
          </w:p>
        </w:tc>
      </w:tr>
      <w:tr>
        <w:trPr>
          <w:cantSplit/>
        </w:trPr>
        <w:tc>
          <w:tcPr>
            <w:tcW w:type="dxa" w:w="680"/>
            <w:tcBorders/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捨棄</w:t>
            </w:r>
          </w:p>
        </w:tc>
        <w:tc>
          <w:tcPr>
            <w:tcW w:type="dxa" w:w="4876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每個時間預算 300 個溫度</w:t>
            </w:r>
          </w:p>
        </w:tc>
        <w:tc>
          <w:tcPr>
            <w:tcW w:type="dxa" w:w="3628"/>
            <w:tcBorders/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+0.9 %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center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捨棄</w:t>
            </w:r>
          </w:p>
        </w:tc>
        <w:tc>
          <w:tcPr>
            <w:tcW w:type="dxa" w:w="4876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其他 move mix（4 組）</w:t>
            </w:r>
          </w:p>
        </w:tc>
        <w:tc>
          <w:tcPr>
            <w:tcW w:type="dxa" w:w="3628"/>
            <w:tcBorders>
              <w:bottom w:val="single" w:sz="10" w:space="0" w:color="000000"/>
            </w:tcBorders>
          </w:tcPr>
          <w:p>
            <w:pPr>
              <w:snapToGrid w:val="0"/>
              <w:spacing w:before="0" w:after="0" w:lineRule="exact" w:line="221"/>
              <w:jc w:val="left"/>
            </w:pPr>
            <w:r>
              <w:rPr>
                <w:rFonts w:ascii="Times New Roman" w:hAnsi="Times New Roman" w:cs="Times New Roman" w:eastAsia="標楷體"/>
                <w:sz w:val="17"/>
                <w:lang w:eastAsia="zh-TW"/>
              </w:rPr>
              <w:t>−0.22 % 至 +0.13 %</w:t>
            </w:r>
          </w:p>
        </w:tc>
      </w:tr>
    </w:tbl>
    <w:p>
      <w:pPr>
        <w:keepNext/>
        <w:snapToGrid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416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cement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20" w:after="60" w:lineRule="exact" w:line="248"/>
        <w:jc w:val="center"/>
      </w:pPr>
      <w:r>
        <w:rPr>
          <w:rFonts w:ascii="Times New Roman" w:hAnsi="Times New Roman" w:cs="Times New Roman" w:eastAsia="標楷體"/>
          <w:b/>
          <w:sz w:val="18"/>
          <w:lang w:eastAsia="zh-TW"/>
        </w:rPr>
        <w:t xml:space="preserve">圖 </w:t>
      </w:r>
      <w:fldSimple w:instr=" SEQ 圖 \* ARABIC ">
        <w:r>
          <w:rPr>
            <w:rFonts w:ascii="Times New Roman" w:hAnsi="Times New Roman" w:cs="Times New Roman" w:eastAsia="標楷體"/>
            <w:b/>
            <w:sz w:val="18"/>
          </w:rPr>
          <w:t>2</w:t>
        </w:r>
      </w:fldSimple>
      <w:r>
        <w:rPr>
          <w:rFonts w:ascii="Times New Roman" w:hAnsi="Times New Roman" w:cs="Times New Roman" w:eastAsia="標楷體"/>
          <w:b/>
          <w:sz w:val="18"/>
          <w:lang w:eastAsia="zh-TW"/>
        </w:rPr>
        <w:t>：</w:t>
      </w:r>
      <w:r>
        <w:rPr>
          <w:rFonts w:ascii="Times New Roman" w:hAnsi="Times New Roman" w:cs="Times New Roman" w:eastAsia="標楷體"/>
          <w:sz w:val="18"/>
          <w:lang w:eastAsia="zh-TW"/>
        </w:rPr>
        <w:t>input011 局部放大（8 rows × 100 sites）：GP（cell 重疊）、Stage 1 legal、Stage 2 SA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b/>
          <w:sz w:val="20"/>
          <w:lang w:eastAsia="zh-TW"/>
        </w:rPr>
        <w:t>輔助工具（自行開發）：</w:t>
      </w:r>
      <w:r>
        <w:rPr>
          <w:rFonts w:ascii="Times New Roman" w:hAnsi="Times New Roman" w:cs="Times New Roman" w:eastAsia="標楷體"/>
          <w:sz w:val="20"/>
          <w:lang w:eastAsia="zh-TW"/>
        </w:rPr>
        <w:t>tools/checker.py 以 Python 獨立實作（不共用 C++ 程式碼），檢查 row、site alignment、subrow 範圍、overlap、terminal 未移動、orientation 未變，並重算 displacement 與 HPWL 和 dp 的 stdout 比對；開發中它與 dp 內部檢查抓出了一個同一 segment 內交換的 bug。run_all.sh 依評分流程執行所有 case，量測時間與記憶體、執行 checker，並輸出含 Dragon 參考欄位的表格；plot_sa.py、plot_placement.py 產生圖 1、圖 2；convert_ibm.py 與 gen_synth.py 產生測資。</w:t>
      </w:r>
    </w:p>
    <w:p>
      <w:pPr>
        <w:keepNext/>
        <w:snapToGrid w:val="0"/>
        <w:spacing w:before="80" w:after="40" w:lineRule="exact" w:line="310"/>
        <w:outlineLvl w:val="0"/>
      </w:pPr>
      <w:r>
        <w:rPr>
          <w:rFonts w:ascii="Times New Roman" w:hAnsi="Times New Roman" w:cs="Times New Roman" w:eastAsia="標楷體"/>
          <w:b/>
          <w:sz w:val="23"/>
          <w:lang w:eastAsia="zh-TW"/>
        </w:rPr>
        <w:t>5. 限制與說明</w:t>
      </w:r>
    </w:p>
    <w:p>
      <w:pPr>
        <w:snapToGrid w:val="0"/>
        <w:spacing w:before="0" w:after="40" w:lineRule="exact" w:line="276"/>
        <w:ind w:firstLine="400"/>
        <w:jc w:val="both"/>
      </w:pPr>
      <w:r>
        <w:rPr>
          <w:rFonts w:ascii="Times New Roman" w:hAnsi="Times New Roman" w:cs="Times New Roman" w:eastAsia="標楷體"/>
          <w:sz w:val="20"/>
          <w:lang w:eastAsia="zh-TW"/>
        </w:rPr>
        <w:t>(1) 測資並非官方測資，而是由 ibm-place2 搭配 Dragon placement 與 Gaussian noise 產生。(2) Dragon 以 pin offset 最佳化 HPWL，本作依規格使用 cell center，因此與 Dragon 的 HPWL 比較僅供參考。(3) SA schedule 由時間驅動，不同機器或不同次執行的結果會略有差異（約 0.4–1 %），以 --iters 指定 move 數即可完全重現。(4) 大設計受時間限制，multi-thread SA 或 row 內 permutation 是可能的延伸方向。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Rule="exact" w:line="221"/>
      <w:jc w:val="center"/>
    </w:pPr>
    <w:fldSimple w:instr=" PAGE ">
      <w:r>
        <w:rPr>
          <w:rFonts w:ascii="Times New Roman" w:hAnsi="Times New Roman" w:cs="Times New Roman" w:eastAsia="標楷體"/>
          <w:b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標楷體"/>
      <w:sz w:val="20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