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 身份认证的一种规范，包括第三方合作商认证即使用的客户端模式，系统内部单点登录即使用的密码模式，和用户第三方登录使用的授权码模式等。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授权码模式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访问 </w:t>
      </w:r>
      <w:r>
        <w:rPr>
          <w:rFonts w:hint="default"/>
        </w:rPr>
        <w:t>http://localhost:9999/oauth/authorize?client_id=client&amp;response_type=code</w:t>
      </w:r>
    </w:p>
    <w:p>
      <w:r>
        <w:drawing>
          <wp:inline distT="0" distB="0" distL="114300" distR="114300">
            <wp:extent cx="5270500" cy="3477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08356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549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3256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简化模式在请求认证通过后，会在地址栏上显示token，虽然简单但是很不安全。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  <w:instrText xml:space="preserve"> HYPERLINK "http://localhost:9999/oauth/authorize?client_id=client&amp;response_type=token"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caps w:val="0"/>
          <w:spacing w:val="0"/>
          <w:sz w:val="12"/>
          <w:szCs w:val="12"/>
          <w:shd w:val="clear" w:fill="FFFFFF"/>
        </w:rPr>
        <w:t>http://localhost:9999/oauth/authorize?client_id=client&amp;response_type=token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</w:pPr>
      <w:r>
        <w:drawing>
          <wp:inline distT="0" distB="0" distL="114300" distR="114300">
            <wp:extent cx="5270500" cy="34772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  <w:t>https://www.baidu.com/#access_token=d3790b33-f583-4e60-9402-ab566984535a&amp;token_type=bearer&amp;expires_in=43061&amp;scope=read%20write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2"/>
          <w:szCs w:val="12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2"/>
          <w:szCs w:val="12"/>
          <w:shd w:val="clear" w:fill="FFFFFF"/>
          <w:lang w:val="en-US" w:eastAsia="zh-CN"/>
        </w:rPr>
        <w:t>密码模式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2"/>
          <w:szCs w:val="12"/>
          <w:shd w:val="clear" w:fill="FFFFFF"/>
          <w:lang w:val="en-US" w:eastAsia="zh-CN"/>
        </w:rPr>
        <w:t>常用于关系比较亲密的服务，一个服务使用另一个服务（即uaa）的账户密码登录，常用在微服务内部单点登录。</w:t>
      </w:r>
    </w:p>
    <w:p>
      <w:r>
        <w:drawing>
          <wp:inline distT="0" distB="0" distL="114300" distR="114300">
            <wp:extent cx="5266055" cy="3513455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使用client_id,client_secret获取token，但是客户端模式不会有refresh_token字段返回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051300"/>
            <wp:effectExtent l="0" t="0" r="127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2020-08-24T13:54:42Z</dcterms:created>
  <dc:creator>wangyi</dc:creator>
  <cp:lastModifiedBy>wangyi</cp:lastModifiedBy>
  <dcterms:modified xsi:type="dcterms:W3CDTF">2020-08-24T14:28:44Z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