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2026-07-10, session #72 (second sitting — scope + mockups). (Claude refreshes this at each session's end.)</w:t>
      </w:r>
    </w:p>
    <w:p>
      <w:pPr>
        <w:pStyle w:val="ListParagraph"/>
        <w:numPr>
          <w:ilvl w:val="0"/>
          <w:numId w:val="2"/>
        </w:numPr>
        <w:spacing w:after="100"/>
      </w:pPr>
      <w:r>
        <w:rPr>
          <w:b/>
          <w:i w:val="0"/>
        </w:rPr>
        <w:t xml:space="preserve">Where we are: </w:t>
      </w:r>
      <w:r>
        <w:rPr>
          <w:b w:val="0"/>
          <w:i w:val="0"/>
        </w:rPr>
        <w:t>Session #72 (2026-07-10) moved the Mystery Tracker mobile effort from decisions into work. Decisions logged in this doc: the Memory WEB version is DROPPED (elyfont.com gets a pointer only — the rich reminder scheme can’t live on the web); the ROLLOUT ORDER is decided (see “Rollout strategy”): Mystery Tracker mobile first as the rehearsal — no money expected, but full polish, it’s advertising — then Memory to the App Store, then Memory on Android after the iPhone build. Setup is COMPLETE: Xcode 26.6 + iOS 26.5 components on the MacBook Air (M5, Tahoe 26.5.2), Apple ID signed into Xcode, Developer account already held. The mechanical cleanup is ALL DONE and Patrick-verified in his browser (eight test turns): renamed to “Mystery Tracker”, voice claim gone, new icon designed and approved (three fanned cards — gold ?, green ✓, red ✗), all paths relative (new root manifest.json + service-worker.js), fonts bundled — zero external URLs, fully offline. A NO-THINKING directive for the mobile app is logged in upgrade-scope.md (Σ purely manual, premium auto-Σ comes OUT, per-turn auto-cross kept as bookkeeping, 🏠 column manual ✓/✗ only). READ upgrade-scope.md before touching the app — it holds every decision and today’s corrections.</w:t>
      </w:r>
    </w:p>
    <w:p>
      <w:pPr>
        <w:pStyle w:val="ListParagraph"/>
        <w:numPr>
          <w:ilvl w:val="0"/>
          <w:numId w:val="2"/>
        </w:numPr>
        <w:spacing w:after="100"/>
      </w:pPr>
      <w:r>
        <w:rPr>
          <w:b w:val="0"/>
          <w:i w:val="0"/>
        </w:rPr>
        <w:t>Also in #72 (second sitting, 2026-07-10): the upgrade SCOPE is now COMPLETE — every design question decided and recorded in upgrade-scope.md. Highlights: 🏠 cell is a blank↔✓ toggle ONLY (no ✗), placement + look mockup-approved; ALL visuals mirror the web where practical (new standing rule); configurable-structure model decided: truly variable, the player shapes it at setup (deliberate exception to mirror-the-web — the web uses a fixed 4×30 grid with muting); band colors: categories 1–3 keep red/blue/green, the 4th takes the web's cat-4 gold; setup-screen design APPROVED as mocked (Add Category button, N-of-30 counter, per-category counts); templates store the whole structure (no migration needed — no saved games exist); minimums: a category may sit empty, deck ≥ 15 cards, 2 players, 2 cards in hand, Me slot required; asks generalize to one card per non-empty category with auto-commit at the Nth pick (as the web does); the asking flow's 2-of-3 auto-check comes OUT (no-thinking); ✓/✗ tinting ports straight from the web, no mockup; LANDSCAPE DEFERRED until the existing product is finished — the upgrade ships portrait-only. Also new: CLAUDE.md + session-start.md now exist in all three project folders (App-Docs, MysteryCluesTracker, elderlyassistant) carrying the standing rules; Patrick's session opener: “#NN — name. Read CLAUDE.md, session-start.md, and the hand-off, then tell me where things stand.”</w:t>
      </w:r>
    </w:p>
    <w:p>
      <w:pPr>
        <w:pStyle w:val="ListParagraph"/>
        <w:numPr>
          <w:ilvl w:val="0"/>
          <w:numId w:val="2"/>
        </w:numPr>
        <w:spacing w:after="100"/>
      </w:pPr>
      <w:r>
        <w:rPr>
          <w:b/>
          <w:i w:val="0"/>
        </w:rPr>
        <w:t xml:space="preserve">Loose ends: </w:t>
      </w:r>
      <w:r>
        <w:rPr>
          <w:b w:val="0"/>
          <w:i w:val="0"/>
        </w:rPr>
        <w:t>(1) COMMITS OWED (Patrick, end of #72): commit BOTH repos — App-Docs and MysteryCluesTracker — and at commit DELETE the three dead files in MysteryCluesTracker: clue-manifest.json, static/clue-icon.png, static/service-worker.js (keep MysteryTracker.html there — it’s Patrick’s original hand-built Clue sheet, a keepsake). (2) Wherever the PWA is currently served, the next upload needs the NEW layout: the app file plus manifest.json, service-worker.js, and static/ (fonts + icons). (3) Still standing: the 266-step test procedure as its own tickable web checklist page (idea Patrick liked, #70). (4) The elyfont.com home card describes Mystery Tracker as a tracker for a mystery you’re READING — the app is actually a board-game companion; reword the card someday. (5) The web app’s guide text has one stray Clue echo (“Plum, Rope and Hall”, ~line 4032 of MysteryTracker.html) — also noted in upgrade-scope.md’s legal-caution section.</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 NEXT GOAL (end of #72): START THE BUILD. The scope is complete — no open design questions remain; upgrade-scope.md holds every decision. Connect Projects → MysteryCluesTracker, read docs/upgrade-scope.md, then build ONE change at a time, each with Patrick's explicit go. A build order to discuss with Patrick (his call): tier-gate removal (auto-Σ out with it), asking auto-check removal, 🏠 column, ✓/✗ tinting, then the configurable structure (setup screen, then in-play). Patrick names the session goal; scope it together; wait for his go.</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Tracker (PWA). No store, no gatekeeper, no fees.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Tracker — mobile. </w:t>
      </w:r>
      <w:r>
        <w:t xml:space="preserve">A PWA, installable on the phone. Fully done — a Beta.</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Tracker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Tracker mobile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Tracker mobile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