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C2" w:rsidRPr="00341DC2" w:rsidRDefault="00341DC2" w:rsidP="00341DC2">
      <w:pPr>
        <w:jc w:val="center"/>
        <w:rPr>
          <w:b/>
        </w:rPr>
      </w:pPr>
      <w:r>
        <w:rPr>
          <w:rFonts w:hint="eastAsia"/>
          <w:b/>
        </w:rPr>
        <w:t>样品液质联用</w:t>
      </w:r>
      <w:r w:rsidRPr="00341DC2">
        <w:rPr>
          <w:rFonts w:hint="eastAsia"/>
          <w:b/>
        </w:rPr>
        <w:t>方法</w:t>
      </w:r>
    </w:p>
    <w:tbl>
      <w:tblPr>
        <w:tblStyle w:val="a4"/>
        <w:tblW w:w="0" w:type="auto"/>
        <w:jc w:val="center"/>
        <w:tblLook w:val="04A0"/>
      </w:tblPr>
      <w:tblGrid>
        <w:gridCol w:w="2121"/>
        <w:gridCol w:w="3551"/>
        <w:gridCol w:w="2850"/>
      </w:tblGrid>
      <w:tr w:rsidR="001878C6" w:rsidRPr="00F353CF" w:rsidTr="001878C6">
        <w:trPr>
          <w:jc w:val="center"/>
        </w:trPr>
        <w:tc>
          <w:tcPr>
            <w:tcW w:w="212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项目</w:t>
            </w:r>
          </w:p>
        </w:tc>
        <w:tc>
          <w:tcPr>
            <w:tcW w:w="355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描述</w:t>
            </w:r>
          </w:p>
        </w:tc>
        <w:tc>
          <w:tcPr>
            <w:tcW w:w="2850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制造商</w:t>
            </w:r>
          </w:p>
        </w:tc>
      </w:tr>
      <w:tr w:rsidR="001878C6" w:rsidRPr="00F353CF" w:rsidTr="001878C6">
        <w:trPr>
          <w:jc w:val="center"/>
        </w:trPr>
        <w:tc>
          <w:tcPr>
            <w:tcW w:w="212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液相系统</w:t>
            </w:r>
          </w:p>
        </w:tc>
        <w:tc>
          <w:tcPr>
            <w:tcW w:w="355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Dionex Ultimate 3000 RSLC (HPG)</w:t>
            </w:r>
          </w:p>
        </w:tc>
        <w:tc>
          <w:tcPr>
            <w:tcW w:w="2850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Thermo Fisher Scientific</w:t>
            </w:r>
          </w:p>
        </w:tc>
      </w:tr>
      <w:tr w:rsidR="001878C6" w:rsidRPr="00F353CF" w:rsidTr="001878C6">
        <w:trPr>
          <w:jc w:val="center"/>
        </w:trPr>
        <w:tc>
          <w:tcPr>
            <w:tcW w:w="212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质谱系统</w:t>
            </w:r>
          </w:p>
        </w:tc>
        <w:tc>
          <w:tcPr>
            <w:tcW w:w="3551" w:type="dxa"/>
          </w:tcPr>
          <w:p w:rsidR="001878C6" w:rsidRPr="00F353CF" w:rsidRDefault="001878C6" w:rsidP="005011B7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Thermo Scientific Q Exactive</w:t>
            </w:r>
            <w:r w:rsidR="005011B7">
              <w:rPr>
                <w:rFonts w:eastAsiaTheme="majorEastAsia" w:cstheme="minorHAnsi" w:hint="eastAsia"/>
              </w:rPr>
              <w:t xml:space="preserve"> Focus</w:t>
            </w:r>
          </w:p>
        </w:tc>
        <w:tc>
          <w:tcPr>
            <w:tcW w:w="2850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Thermo Fisher Scientific</w:t>
            </w:r>
          </w:p>
        </w:tc>
      </w:tr>
      <w:tr w:rsidR="001878C6" w:rsidRPr="00F353CF" w:rsidTr="001878C6">
        <w:trPr>
          <w:jc w:val="center"/>
        </w:trPr>
        <w:tc>
          <w:tcPr>
            <w:tcW w:w="212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离子源</w:t>
            </w:r>
          </w:p>
        </w:tc>
        <w:tc>
          <w:tcPr>
            <w:tcW w:w="3551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HESI-II</w:t>
            </w:r>
          </w:p>
        </w:tc>
        <w:tc>
          <w:tcPr>
            <w:tcW w:w="2850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Thermo Fisher Scientific</w:t>
            </w:r>
          </w:p>
        </w:tc>
      </w:tr>
    </w:tbl>
    <w:p w:rsidR="001878C6" w:rsidRPr="00F67BC8" w:rsidRDefault="005C713D" w:rsidP="001878C6">
      <w:pPr>
        <w:tabs>
          <w:tab w:val="left" w:pos="600"/>
        </w:tabs>
        <w:spacing w:line="288" w:lineRule="auto"/>
        <w:rPr>
          <w:rFonts w:eastAsiaTheme="majorEastAsia" w:cstheme="minorHAnsi"/>
          <w:b/>
        </w:rPr>
      </w:pPr>
      <w:r>
        <w:rPr>
          <w:rFonts w:eastAsiaTheme="majorEastAsia" w:cstheme="minorHAnsi" w:hint="eastAsia"/>
          <w:b/>
        </w:rPr>
        <w:t xml:space="preserve">          </w:t>
      </w:r>
      <w:r w:rsidR="001878C6">
        <w:rPr>
          <w:rFonts w:eastAsiaTheme="majorEastAsia" w:cstheme="minorHAnsi" w:hint="eastAsia"/>
          <w:b/>
        </w:rPr>
        <w:t xml:space="preserve">                     </w:t>
      </w:r>
      <w:r>
        <w:rPr>
          <w:rFonts w:eastAsiaTheme="majorEastAsia" w:cstheme="minorHAnsi" w:hint="eastAsia"/>
          <w:b/>
        </w:rPr>
        <w:t xml:space="preserve">   </w:t>
      </w:r>
      <w:r w:rsidR="001878C6">
        <w:rPr>
          <w:rFonts w:eastAsiaTheme="majorEastAsia" w:cstheme="minorHAnsi" w:hint="eastAsia"/>
          <w:b/>
        </w:rPr>
        <w:t xml:space="preserve"> </w:t>
      </w:r>
      <w:r w:rsidR="001878C6" w:rsidRPr="00F67BC8">
        <w:rPr>
          <w:rFonts w:eastAsiaTheme="majorEastAsia" w:cstheme="minorHAnsi"/>
          <w:b/>
        </w:rPr>
        <w:t>色谱柱</w:t>
      </w:r>
    </w:p>
    <w:tbl>
      <w:tblPr>
        <w:tblStyle w:val="a4"/>
        <w:tblW w:w="5000" w:type="pct"/>
        <w:jc w:val="center"/>
        <w:tblLook w:val="04A0"/>
      </w:tblPr>
      <w:tblGrid>
        <w:gridCol w:w="3348"/>
        <w:gridCol w:w="2334"/>
        <w:gridCol w:w="2840"/>
      </w:tblGrid>
      <w:tr w:rsidR="001878C6" w:rsidRPr="00F353CF" w:rsidTr="00881781">
        <w:trPr>
          <w:jc w:val="center"/>
        </w:trPr>
        <w:tc>
          <w:tcPr>
            <w:tcW w:w="1964" w:type="pct"/>
          </w:tcPr>
          <w:p w:rsidR="001878C6" w:rsidRPr="00F353CF" w:rsidRDefault="001878C6" w:rsidP="005F5D96">
            <w:pPr>
              <w:tabs>
                <w:tab w:val="left" w:pos="600"/>
              </w:tabs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类型</w:t>
            </w:r>
          </w:p>
        </w:tc>
        <w:tc>
          <w:tcPr>
            <w:tcW w:w="1369" w:type="pct"/>
          </w:tcPr>
          <w:p w:rsidR="001878C6" w:rsidRPr="00F353CF" w:rsidRDefault="001878C6" w:rsidP="005F5D96">
            <w:pPr>
              <w:tabs>
                <w:tab w:val="left" w:pos="600"/>
              </w:tabs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规格</w:t>
            </w:r>
          </w:p>
        </w:tc>
        <w:tc>
          <w:tcPr>
            <w:tcW w:w="1666" w:type="pct"/>
          </w:tcPr>
          <w:p w:rsidR="001878C6" w:rsidRPr="00F353CF" w:rsidRDefault="001878C6" w:rsidP="005F5D96">
            <w:pPr>
              <w:tabs>
                <w:tab w:val="left" w:pos="600"/>
              </w:tabs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制造商</w:t>
            </w:r>
          </w:p>
        </w:tc>
      </w:tr>
      <w:tr w:rsidR="001878C6" w:rsidRPr="00F353CF" w:rsidTr="00881781">
        <w:trPr>
          <w:jc w:val="center"/>
        </w:trPr>
        <w:tc>
          <w:tcPr>
            <w:tcW w:w="1964" w:type="pct"/>
          </w:tcPr>
          <w:p w:rsidR="001878C6" w:rsidRPr="00F353CF" w:rsidRDefault="00881781" w:rsidP="005F5D96">
            <w:pPr>
              <w:tabs>
                <w:tab w:val="left" w:pos="600"/>
              </w:tabs>
              <w:spacing w:line="288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W</w:t>
            </w:r>
            <w:r>
              <w:rPr>
                <w:rFonts w:eastAsiaTheme="majorEastAsia" w:cstheme="minorHAnsi" w:hint="eastAsia"/>
              </w:rPr>
              <w:t>aters Acquity uplc hss T3 1.8um</w:t>
            </w:r>
          </w:p>
        </w:tc>
        <w:tc>
          <w:tcPr>
            <w:tcW w:w="1369" w:type="pct"/>
          </w:tcPr>
          <w:p w:rsidR="001878C6" w:rsidRPr="00F353CF" w:rsidRDefault="00310E2E" w:rsidP="00310E2E">
            <w:pPr>
              <w:tabs>
                <w:tab w:val="left" w:pos="600"/>
              </w:tabs>
              <w:spacing w:line="288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 xml:space="preserve">100*2.1 mm, </w:t>
            </w:r>
          </w:p>
        </w:tc>
        <w:tc>
          <w:tcPr>
            <w:tcW w:w="1666" w:type="pct"/>
          </w:tcPr>
          <w:p w:rsidR="001878C6" w:rsidRPr="00F353CF" w:rsidRDefault="00881781" w:rsidP="00310E2E">
            <w:pPr>
              <w:tabs>
                <w:tab w:val="left" w:pos="600"/>
              </w:tabs>
              <w:spacing w:line="288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waters</w:t>
            </w:r>
          </w:p>
        </w:tc>
      </w:tr>
    </w:tbl>
    <w:p w:rsidR="000A0B53" w:rsidRDefault="000A0B53"/>
    <w:p w:rsidR="001878C6" w:rsidRPr="00F67BC8" w:rsidRDefault="001878C6" w:rsidP="001878C6">
      <w:pPr>
        <w:spacing w:line="288" w:lineRule="auto"/>
        <w:jc w:val="center"/>
        <w:rPr>
          <w:rFonts w:eastAsiaTheme="majorEastAsia" w:cstheme="minorHAnsi"/>
          <w:b/>
        </w:rPr>
      </w:pPr>
      <w:r w:rsidRPr="00F67BC8">
        <w:rPr>
          <w:rFonts w:eastAsiaTheme="majorEastAsia" w:cstheme="minorHAnsi"/>
          <w:b/>
        </w:rPr>
        <w:t>离子源参数设置</w:t>
      </w:r>
    </w:p>
    <w:tbl>
      <w:tblPr>
        <w:tblStyle w:val="a4"/>
        <w:tblW w:w="0" w:type="auto"/>
        <w:tblLook w:val="04A0"/>
      </w:tblPr>
      <w:tblGrid>
        <w:gridCol w:w="4279"/>
        <w:gridCol w:w="4243"/>
      </w:tblGrid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离子源参数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设定值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Spray Voltage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3.</w:t>
            </w:r>
            <w:r w:rsidR="009858B3">
              <w:rPr>
                <w:rFonts w:eastAsiaTheme="majorEastAsia" w:cstheme="minorHAnsi" w:hint="eastAsia"/>
                <w:szCs w:val="21"/>
              </w:rPr>
              <w:t>0</w:t>
            </w:r>
            <w:r w:rsidRPr="00F353CF">
              <w:rPr>
                <w:rFonts w:eastAsiaTheme="majorEastAsia" w:cstheme="minorHAnsi"/>
                <w:szCs w:val="21"/>
              </w:rPr>
              <w:t xml:space="preserve"> kV (+)/</w:t>
            </w:r>
            <w:r w:rsidR="009858B3">
              <w:rPr>
                <w:rFonts w:eastAsiaTheme="majorEastAsia" w:cstheme="minorHAnsi" w:hint="eastAsia"/>
                <w:szCs w:val="21"/>
              </w:rPr>
              <w:t>2.5</w:t>
            </w:r>
            <w:r w:rsidRPr="00F353CF">
              <w:rPr>
                <w:rFonts w:eastAsiaTheme="majorEastAsia" w:cstheme="minorHAnsi"/>
                <w:szCs w:val="21"/>
              </w:rPr>
              <w:t xml:space="preserve"> kV (-)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Capillary Temperature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320°C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Sheath Gas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35 arb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AUX Gas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10 arb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Sweep Gas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 arb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Probe Heater Temperature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350°C</w:t>
            </w:r>
          </w:p>
        </w:tc>
      </w:tr>
      <w:tr w:rsidR="001878C6" w:rsidRPr="00F353CF" w:rsidTr="005F5D96">
        <w:trPr>
          <w:trHeight w:val="70"/>
        </w:trPr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S-Lens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60</w:t>
            </w:r>
          </w:p>
        </w:tc>
      </w:tr>
    </w:tbl>
    <w:p w:rsidR="001878C6" w:rsidRPr="00F67BC8" w:rsidRDefault="001878C6" w:rsidP="001878C6">
      <w:pPr>
        <w:spacing w:line="288" w:lineRule="auto"/>
        <w:jc w:val="center"/>
        <w:rPr>
          <w:rFonts w:eastAsiaTheme="majorEastAsia" w:cstheme="minorHAnsi"/>
          <w:b/>
        </w:rPr>
      </w:pPr>
      <w:r w:rsidRPr="00F67BC8">
        <w:rPr>
          <w:rFonts w:eastAsiaTheme="majorEastAsia" w:cstheme="minorHAnsi"/>
          <w:b/>
        </w:rPr>
        <w:t>梯度洗脱表</w:t>
      </w:r>
    </w:p>
    <w:tbl>
      <w:tblPr>
        <w:tblStyle w:val="a4"/>
        <w:tblW w:w="5000" w:type="pct"/>
        <w:jc w:val="center"/>
        <w:tblLook w:val="04A0"/>
      </w:tblPr>
      <w:tblGrid>
        <w:gridCol w:w="1884"/>
        <w:gridCol w:w="2410"/>
        <w:gridCol w:w="2292"/>
        <w:gridCol w:w="1936"/>
      </w:tblGrid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Time (min)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Flow (</w:t>
            </w:r>
            <w:r>
              <w:rPr>
                <w:rFonts w:eastAsiaTheme="majorEastAsia" w:cstheme="minorHAnsi"/>
                <w:szCs w:val="21"/>
              </w:rPr>
              <w:t>mL</w:t>
            </w:r>
            <w:r w:rsidRPr="00F353CF">
              <w:rPr>
                <w:rFonts w:eastAsiaTheme="majorEastAsia" w:cstheme="minorHAnsi"/>
                <w:szCs w:val="21"/>
              </w:rPr>
              <w:t>/min)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>
              <w:rPr>
                <w:rFonts w:eastAsiaTheme="majorEastAsia" w:cstheme="minorHAnsi" w:hint="eastAsia"/>
                <w:szCs w:val="21"/>
              </w:rPr>
              <w:t>C</w:t>
            </w:r>
            <w:r w:rsidRPr="00F353CF">
              <w:rPr>
                <w:rFonts w:eastAsiaTheme="majorEastAsia" w:cstheme="minorHAnsi"/>
                <w:szCs w:val="21"/>
              </w:rPr>
              <w:t>（有机相）</w:t>
            </w:r>
            <w:r>
              <w:rPr>
                <w:rFonts w:eastAsiaTheme="majorEastAsia" w:cstheme="minorHAnsi" w:hint="eastAsia"/>
                <w:szCs w:val="21"/>
              </w:rPr>
              <w:t>乙腈</w:t>
            </w:r>
            <w:r w:rsidR="00EE2BD4">
              <w:rPr>
                <w:rFonts w:eastAsiaTheme="majorEastAsia" w:cstheme="minorHAnsi" w:hint="eastAsia"/>
                <w:szCs w:val="21"/>
              </w:rPr>
              <w:t>(0.1%</w:t>
            </w:r>
            <w:r w:rsidR="00EE2BD4">
              <w:rPr>
                <w:rFonts w:eastAsiaTheme="majorEastAsia" w:cstheme="minorHAnsi" w:hint="eastAsia"/>
                <w:szCs w:val="21"/>
              </w:rPr>
              <w:t>甲酸</w:t>
            </w:r>
            <w:r w:rsidR="00EE2BD4">
              <w:rPr>
                <w:rFonts w:eastAsiaTheme="majorEastAsia" w:cstheme="minorHAnsi" w:hint="eastAsia"/>
                <w:szCs w:val="21"/>
              </w:rPr>
              <w:t>)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B</w:t>
            </w:r>
            <w:r w:rsidRPr="00F353CF">
              <w:rPr>
                <w:rFonts w:eastAsiaTheme="majorEastAsia" w:cstheme="minorHAnsi"/>
                <w:szCs w:val="21"/>
              </w:rPr>
              <w:t>（水相）</w:t>
            </w:r>
            <w:r>
              <w:rPr>
                <w:rFonts w:eastAsiaTheme="majorEastAsia" w:cstheme="minorHAnsi" w:hint="eastAsia"/>
                <w:szCs w:val="21"/>
              </w:rPr>
              <w:t>0.1%</w:t>
            </w:r>
            <w:r>
              <w:rPr>
                <w:rFonts w:eastAsiaTheme="majorEastAsia" w:cstheme="minorHAnsi" w:hint="eastAsia"/>
                <w:szCs w:val="21"/>
              </w:rPr>
              <w:t>甲酸水</w:t>
            </w:r>
          </w:p>
        </w:tc>
      </w:tr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0.3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95</w:t>
            </w:r>
          </w:p>
        </w:tc>
      </w:tr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2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0.3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95</w:t>
            </w:r>
          </w:p>
        </w:tc>
      </w:tr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42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0.3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95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</w:t>
            </w:r>
          </w:p>
        </w:tc>
      </w:tr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47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0.3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95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</w:t>
            </w:r>
          </w:p>
        </w:tc>
      </w:tr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47.1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0.3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95</w:t>
            </w:r>
          </w:p>
        </w:tc>
      </w:tr>
      <w:tr w:rsidR="001878C6" w:rsidRPr="00F353CF" w:rsidTr="005F5D96">
        <w:trPr>
          <w:jc w:val="center"/>
        </w:trPr>
        <w:tc>
          <w:tcPr>
            <w:tcW w:w="110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50</w:t>
            </w:r>
          </w:p>
        </w:tc>
        <w:tc>
          <w:tcPr>
            <w:tcW w:w="1414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0.3</w:t>
            </w:r>
          </w:p>
        </w:tc>
        <w:tc>
          <w:tcPr>
            <w:tcW w:w="134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5</w:t>
            </w:r>
          </w:p>
        </w:tc>
        <w:tc>
          <w:tcPr>
            <w:tcW w:w="1135" w:type="pct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95</w:t>
            </w:r>
          </w:p>
        </w:tc>
      </w:tr>
      <w:tr w:rsidR="001878C6" w:rsidRPr="00F353CF" w:rsidTr="005F5D96">
        <w:trPr>
          <w:trHeight w:val="70"/>
          <w:jc w:val="center"/>
        </w:trPr>
        <w:tc>
          <w:tcPr>
            <w:tcW w:w="5000" w:type="pct"/>
            <w:gridSpan w:val="4"/>
          </w:tcPr>
          <w:p w:rsidR="001878C6" w:rsidRPr="00F353CF" w:rsidRDefault="001878C6" w:rsidP="005F5D96">
            <w:pPr>
              <w:pStyle w:val="a3"/>
              <w:spacing w:line="288" w:lineRule="auto"/>
              <w:ind w:firstLineChars="0" w:firstLine="0"/>
              <w:rPr>
                <w:rFonts w:eastAsiaTheme="majorEastAsia" w:cstheme="minorHAnsi"/>
                <w:szCs w:val="21"/>
              </w:rPr>
            </w:pPr>
            <w:r w:rsidRPr="00F353CF">
              <w:rPr>
                <w:rFonts w:eastAsiaTheme="majorEastAsia" w:cstheme="minorHAnsi"/>
                <w:szCs w:val="21"/>
              </w:rPr>
              <w:t>柱温：</w:t>
            </w:r>
            <w:r w:rsidRPr="00F353CF">
              <w:rPr>
                <w:rFonts w:eastAsiaTheme="majorEastAsia" w:cstheme="minorHAnsi"/>
                <w:szCs w:val="21"/>
              </w:rPr>
              <w:t>40°C</w:t>
            </w:r>
          </w:p>
        </w:tc>
      </w:tr>
    </w:tbl>
    <w:p w:rsidR="001878C6" w:rsidRPr="00F67BC8" w:rsidRDefault="001878C6" w:rsidP="001878C6">
      <w:pPr>
        <w:spacing w:line="288" w:lineRule="auto"/>
        <w:jc w:val="center"/>
        <w:rPr>
          <w:rFonts w:eastAsiaTheme="majorEastAsia" w:cstheme="minorHAnsi"/>
          <w:b/>
        </w:rPr>
      </w:pPr>
      <w:r w:rsidRPr="00F67BC8">
        <w:rPr>
          <w:rFonts w:eastAsiaTheme="majorEastAsia" w:cstheme="minorHAnsi"/>
          <w:b/>
        </w:rPr>
        <w:t>质谱扫描参数设置</w:t>
      </w:r>
    </w:p>
    <w:tbl>
      <w:tblPr>
        <w:tblStyle w:val="a4"/>
        <w:tblW w:w="0" w:type="auto"/>
        <w:tblLook w:val="04A0"/>
      </w:tblPr>
      <w:tblGrid>
        <w:gridCol w:w="4259"/>
        <w:gridCol w:w="4263"/>
      </w:tblGrid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质谱扫描参数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设定值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Scan mode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Full MS-ddms</w:t>
            </w:r>
            <w:r w:rsidRPr="00F353CF">
              <w:rPr>
                <w:rFonts w:eastAsiaTheme="majorEastAsia" w:cstheme="minorHAnsi"/>
                <w:vertAlign w:val="superscript"/>
              </w:rPr>
              <w:t>2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Full MS scan range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 xml:space="preserve">100 to </w:t>
            </w:r>
            <w:r w:rsidRPr="00F353CF">
              <w:rPr>
                <w:rFonts w:eastAsiaTheme="majorEastAsia" w:cstheme="minorHAnsi"/>
              </w:rPr>
              <w:t>1500</w:t>
            </w:r>
            <w:r w:rsidRPr="00F353CF">
              <w:rPr>
                <w:rFonts w:eastAsiaTheme="majorEastAsia" w:cstheme="minorHAnsi"/>
                <w:i/>
              </w:rPr>
              <w:t>m</w:t>
            </w:r>
            <w:r w:rsidRPr="00F353CF">
              <w:rPr>
                <w:rFonts w:eastAsiaTheme="majorEastAsia" w:cstheme="minorHAnsi"/>
              </w:rPr>
              <w:t>/</w:t>
            </w:r>
            <w:r w:rsidRPr="00F353CF">
              <w:rPr>
                <w:rFonts w:eastAsiaTheme="majorEastAsia" w:cstheme="minorHAnsi"/>
                <w:i/>
              </w:rPr>
              <w:t>z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Spectrum data type</w:t>
            </w:r>
          </w:p>
        </w:tc>
        <w:tc>
          <w:tcPr>
            <w:tcW w:w="4508" w:type="dxa"/>
          </w:tcPr>
          <w:p w:rsidR="001878C6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Profile</w:t>
            </w:r>
          </w:p>
        </w:tc>
      </w:tr>
      <w:tr w:rsidR="001878C6" w:rsidRPr="00F353CF" w:rsidTr="005F5D96">
        <w:tc>
          <w:tcPr>
            <w:tcW w:w="4508" w:type="dxa"/>
            <w:vMerge w:val="restart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Resolution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Full MS: 70,000</w:t>
            </w:r>
          </w:p>
        </w:tc>
      </w:tr>
      <w:tr w:rsidR="001878C6" w:rsidRPr="00F353CF" w:rsidTr="005F5D96">
        <w:tc>
          <w:tcPr>
            <w:tcW w:w="4508" w:type="dxa"/>
            <w:vMerge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MS/MS: 17,500</w:t>
            </w:r>
          </w:p>
        </w:tc>
      </w:tr>
      <w:tr w:rsidR="001878C6" w:rsidRPr="00F353CF" w:rsidTr="005F5D96">
        <w:tc>
          <w:tcPr>
            <w:tcW w:w="4508" w:type="dxa"/>
            <w:vMerge w:val="restart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AGC target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Full MS:1e</w:t>
            </w:r>
            <w:r w:rsidRPr="00F353CF">
              <w:rPr>
                <w:rFonts w:eastAsiaTheme="majorEastAsia" w:cstheme="minorHAnsi"/>
                <w:vertAlign w:val="superscript"/>
              </w:rPr>
              <w:t>6</w:t>
            </w:r>
          </w:p>
        </w:tc>
      </w:tr>
      <w:tr w:rsidR="001878C6" w:rsidRPr="00F353CF" w:rsidTr="005F5D96">
        <w:tc>
          <w:tcPr>
            <w:tcW w:w="4508" w:type="dxa"/>
            <w:vMerge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MS/MS:2e</w:t>
            </w:r>
            <w:r w:rsidRPr="00F353CF">
              <w:rPr>
                <w:rFonts w:eastAsiaTheme="majorEastAsia" w:cstheme="minorHAnsi"/>
                <w:vertAlign w:val="superscript"/>
              </w:rPr>
              <w:t>5</w:t>
            </w:r>
          </w:p>
        </w:tc>
      </w:tr>
      <w:tr w:rsidR="001878C6" w:rsidRPr="00F353CF" w:rsidTr="005F5D96">
        <w:tc>
          <w:tcPr>
            <w:tcW w:w="4508" w:type="dxa"/>
            <w:vMerge w:val="restart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Maximum IT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Full MS: 100 ms</w:t>
            </w:r>
          </w:p>
        </w:tc>
      </w:tr>
      <w:tr w:rsidR="001878C6" w:rsidRPr="00F353CF" w:rsidTr="005F5D96">
        <w:tc>
          <w:tcPr>
            <w:tcW w:w="4508" w:type="dxa"/>
            <w:vMerge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MS/MS: 50 ms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Loop count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3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MSX count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1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Isolation width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1.5</w:t>
            </w:r>
            <w:r w:rsidRPr="00CB7A5F">
              <w:rPr>
                <w:rFonts w:eastAsiaTheme="majorEastAsia" w:cstheme="minorHAnsi"/>
                <w:i/>
              </w:rPr>
              <w:t>m</w:t>
            </w:r>
            <w:r>
              <w:rPr>
                <w:rFonts w:eastAsiaTheme="majorEastAsia" w:cstheme="minorHAnsi"/>
              </w:rPr>
              <w:t>/</w:t>
            </w:r>
            <w:r w:rsidRPr="00CB7A5F">
              <w:rPr>
                <w:rFonts w:eastAsiaTheme="majorEastAsia" w:cstheme="minorHAnsi"/>
                <w:i/>
              </w:rPr>
              <w:t>z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NCE (Stepped NCE)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20, 40, 60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Minimum AGC target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8e</w:t>
            </w:r>
            <w:r w:rsidRPr="00F353CF">
              <w:rPr>
                <w:rFonts w:eastAsiaTheme="majorEastAsia" w:cstheme="minorHAnsi"/>
                <w:vertAlign w:val="superscript"/>
              </w:rPr>
              <w:t>3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Intensity Threshold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1.6e</w:t>
            </w:r>
            <w:r w:rsidRPr="00F353CF">
              <w:rPr>
                <w:rFonts w:eastAsiaTheme="majorEastAsia" w:cstheme="minorHAnsi"/>
                <w:vertAlign w:val="superscript"/>
              </w:rPr>
              <w:t>5</w:t>
            </w:r>
          </w:p>
        </w:tc>
      </w:tr>
      <w:tr w:rsidR="001878C6" w:rsidRPr="00F353CF" w:rsidTr="005F5D96"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Dynamic exclution</w:t>
            </w:r>
          </w:p>
        </w:tc>
        <w:tc>
          <w:tcPr>
            <w:tcW w:w="4508" w:type="dxa"/>
          </w:tcPr>
          <w:p w:rsidR="001878C6" w:rsidRPr="00F353CF" w:rsidRDefault="001878C6" w:rsidP="005F5D96">
            <w:pPr>
              <w:spacing w:line="288" w:lineRule="auto"/>
              <w:rPr>
                <w:rFonts w:eastAsiaTheme="majorEastAsia" w:cstheme="minorHAnsi"/>
              </w:rPr>
            </w:pPr>
            <w:r w:rsidRPr="00F353CF">
              <w:rPr>
                <w:rFonts w:eastAsiaTheme="majorEastAsia" w:cstheme="minorHAnsi"/>
              </w:rPr>
              <w:t>5 s</w:t>
            </w:r>
          </w:p>
        </w:tc>
      </w:tr>
    </w:tbl>
    <w:p w:rsidR="001878C6" w:rsidRDefault="001878C6"/>
    <w:sectPr w:rsidR="001878C6" w:rsidSect="000A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518" w:rsidRDefault="005F1518" w:rsidP="0031421F">
      <w:r>
        <w:separator/>
      </w:r>
    </w:p>
  </w:endnote>
  <w:endnote w:type="continuationSeparator" w:id="1">
    <w:p w:rsidR="005F1518" w:rsidRDefault="005F1518" w:rsidP="00314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518" w:rsidRDefault="005F1518" w:rsidP="0031421F">
      <w:r>
        <w:separator/>
      </w:r>
    </w:p>
  </w:footnote>
  <w:footnote w:type="continuationSeparator" w:id="1">
    <w:p w:rsidR="005F1518" w:rsidRDefault="005F1518" w:rsidP="003142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C6"/>
    <w:rsid w:val="000A0B53"/>
    <w:rsid w:val="000F3919"/>
    <w:rsid w:val="000F7E75"/>
    <w:rsid w:val="001878C6"/>
    <w:rsid w:val="002E014D"/>
    <w:rsid w:val="00310E2E"/>
    <w:rsid w:val="0031421F"/>
    <w:rsid w:val="00341DC2"/>
    <w:rsid w:val="00382292"/>
    <w:rsid w:val="005011B7"/>
    <w:rsid w:val="005C713D"/>
    <w:rsid w:val="005F1518"/>
    <w:rsid w:val="0063458B"/>
    <w:rsid w:val="006367F6"/>
    <w:rsid w:val="006B1CEF"/>
    <w:rsid w:val="00881781"/>
    <w:rsid w:val="008C67D3"/>
    <w:rsid w:val="009858B3"/>
    <w:rsid w:val="00B21820"/>
    <w:rsid w:val="00B24F65"/>
    <w:rsid w:val="00BE1247"/>
    <w:rsid w:val="00D45371"/>
    <w:rsid w:val="00EE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8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C6"/>
    <w:pPr>
      <w:ind w:firstLineChars="200" w:firstLine="420"/>
    </w:pPr>
  </w:style>
  <w:style w:type="table" w:styleId="a4">
    <w:name w:val="Table Grid"/>
    <w:basedOn w:val="a1"/>
    <w:uiPriority w:val="39"/>
    <w:rsid w:val="001878C6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1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1421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1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142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859</Characters>
  <Application>Microsoft Office Word</Application>
  <DocSecurity>0</DocSecurity>
  <Lines>7</Lines>
  <Paragraphs>2</Paragraphs>
  <ScaleCrop>false</ScaleCrop>
  <Company>Company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9</cp:revision>
  <dcterms:created xsi:type="dcterms:W3CDTF">2019-04-18T03:18:00Z</dcterms:created>
  <dcterms:modified xsi:type="dcterms:W3CDTF">2023-02-14T02:11:00Z</dcterms:modified>
</cp:coreProperties>
</file>