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接口文档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在大厂的微服务和 Agent 架构中，接口文档就是</w:t>
      </w:r>
      <w:r>
        <w:rPr>
          <w:rFonts w:eastAsia="等线" w:ascii="Arial" w:cs="Arial" w:hAnsi="Arial"/>
          <w:b w:val="true"/>
          <w:sz w:val="22"/>
        </w:rPr>
        <w:t>模块与模块之间签下的“生死契约”</w:t>
      </w:r>
      <w:r>
        <w:rPr>
          <w:rFonts w:eastAsia="等线" w:ascii="Arial" w:cs="Arial" w:hAnsi="Arial"/>
          <w:sz w:val="22"/>
        </w:rPr>
        <w:t>。既然我们已经全面拥抱了 LangGraph，这里的“接口”就不再是传统的 RESTful API，而是</w:t>
      </w:r>
      <w:r>
        <w:rPr>
          <w:rFonts w:eastAsia="等线" w:ascii="Arial" w:cs="Arial" w:hAnsi="Arial"/>
          <w:b w:val="true"/>
          <w:sz w:val="22"/>
        </w:rPr>
        <w:t>节点函数的入参出参（内部接口）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外部工具调用的 Payload（外部接口）</w:t>
      </w:r>
      <w:r>
        <w:rPr>
          <w:rFonts w:eastAsia="等线" w:ascii="Arial" w:cs="Arial" w:hAnsi="Arial"/>
          <w:sz w:val="22"/>
        </w:rPr>
        <w:t xml:space="preserve"> 以及 </w:t>
      </w:r>
      <w:r>
        <w:rPr>
          <w:rFonts w:eastAsia="等线" w:ascii="Arial" w:cs="Arial" w:hAnsi="Arial"/>
          <w:b w:val="true"/>
          <w:sz w:val="22"/>
        </w:rPr>
        <w:t>持久化引擎的读写方法（存储接口）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这份接口文档将直接指导你接下来的实际编码（直接复制这些函数签名去写业务逻辑即可）。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📄 多模态文献精读智能体系统 (VLM-PaperAgent) 核心接口文档 (API Spec)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3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🔌 1. 核心状态契约接口 (The Graph State)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LangGraph 中，状态不再是一个臃肿的 Class，而是继承自 </w:t>
      </w:r>
      <w:r>
        <w:rPr>
          <w:rFonts w:eastAsia="Consolas" w:ascii="Consolas" w:cs="Consolas" w:hAnsi="Consolas"/>
          <w:sz w:val="22"/>
          <w:shd w:fill="EFF0F1"/>
        </w:rPr>
        <w:t>TypedDict</w:t>
      </w:r>
      <w:r>
        <w:rPr>
          <w:rFonts w:eastAsia="等线" w:ascii="Arial" w:cs="Arial" w:hAnsi="Arial"/>
          <w:sz w:val="22"/>
        </w:rPr>
        <w:t xml:space="preserve"> 的字典结构。所有的 Agent 节点接口</w:t>
      </w:r>
      <w:r>
        <w:rPr>
          <w:rFonts w:eastAsia="等线" w:ascii="Arial" w:cs="Arial" w:hAnsi="Arial"/>
          <w:b w:val="true"/>
          <w:sz w:val="22"/>
        </w:rPr>
        <w:t>必须且只能</w:t>
      </w:r>
      <w:r>
        <w:rPr>
          <w:rFonts w:eastAsia="等线" w:ascii="Arial" w:cs="Arial" w:hAnsi="Arial"/>
          <w:sz w:val="22"/>
        </w:rPr>
        <w:t>接收和返回该结构的子集。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TypedDict, List, Dict, Any, Annotated</w:t>
              <w:br/>
              <w:t>import operator</w:t>
              <w:br/>
              <w:br/>
              <w:t>class GraphState(TypedDict):"""全局有向图的血脉契约"""</w:t>
              <w:br/>
              <w:t xml:space="preserve">    session_id: str</w:t>
              <w:br/>
              <w:t xml:space="preserve">    pdf_path: str# 核心共享数据池</w:t>
              <w:br/>
              <w:t xml:space="preserve">    extracted_elements: List[Dict[str, Any]]  # 对应 PaperContextElement 的字典形态</w:t>
              <w:br/>
              <w:t xml:space="preserve">    reviewer_insights: Dict[str, Any]         # 审稿结论# 状态机控制变量</w:t>
              <w:br/>
              <w:t xml:space="preserve">    retry_counter: int# 使用 Annotated 和 operator.add 实现日志的增量追加，防止上游日志被下游覆盖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error_logs: Annotated[List[Dict[str, Any]], operator.add]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🔌 2. 智能体节点内部接口 (Agent Node Interfaces)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LangGraph 拓扑图中的核心执行单元。每个函数代表一个独立的 Agent。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Parser 解析节点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：调用 Marker 工具链，完成 PDF 到混合切片的转换。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输入输出签名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parser_node(state: GraphState) -&gt; dict:"""</w:t>
              <w:br/>
              <w:t xml:space="preserve">    接收初始状态，返回增量的 extracted_elements。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返回规范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{"extracted_elements": [...]}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Reviewer 盲测推导节点 (State 101)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 xml:space="preserve">：从 </w:t>
      </w:r>
      <w:r>
        <w:rPr>
          <w:rFonts w:eastAsia="Consolas" w:ascii="Consolas" w:cs="Consolas" w:hAnsi="Consolas"/>
          <w:sz w:val="22"/>
          <w:shd w:fill="EFF0F1"/>
        </w:rPr>
        <w:t>extracted_elements</w:t>
      </w:r>
      <w:r>
        <w:rPr>
          <w:rFonts w:eastAsia="等线" w:ascii="Arial" w:cs="Arial" w:hAnsi="Arial"/>
          <w:sz w:val="22"/>
        </w:rPr>
        <w:t xml:space="preserve"> 中过滤出 </w:t>
      </w:r>
      <w:r>
        <w:rPr>
          <w:rFonts w:eastAsia="Consolas" w:ascii="Consolas" w:cs="Consolas" w:hAnsi="Consolas"/>
          <w:sz w:val="22"/>
          <w:shd w:fill="EFF0F1"/>
        </w:rPr>
        <w:t>latex_equation</w:t>
      </w:r>
      <w:r>
        <w:rPr>
          <w:rFonts w:eastAsia="等线" w:ascii="Arial" w:cs="Arial" w:hAnsi="Arial"/>
          <w:sz w:val="22"/>
        </w:rPr>
        <w:t>，闭门进行公式演进推导。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输入输出签名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reviewer_blind_node(state: GraphState) -&gt; dict:"""</w:t>
              <w:br/>
              <w:t xml:space="preserve">    进行数学盲测，写入推导过程。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返回规范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{"reviewer_insights": {"current_derivation": "..."}}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Reviewer 裁判验证节点 (State 102 &amp; 103)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：调用 Ollama 原生 JSON 约束，判定推导结果与原文是否冲突。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输入输出签名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reviewer_judge_node(state: GraphState) -&gt; dict:"""</w:t>
              <w:br/>
              <w:t xml:space="preserve">    执行 LLM-as-Judge 交叉验证。若报错则写入 error_logs。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返回规范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{"reviewer_insights": {"status": "PASS/CONFLICT", ...}}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🔌 3. 记忆引擎交互接口 (Memory Engine APIs)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这是计算层（Agent）与存储层（Chroma / Neo4j）之间的数据交互桥梁。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工作记忆混合检索接口 (</w:t>
      </w:r>
      <w:r>
        <w:rPr>
          <w:rFonts w:eastAsia="Consolas" w:ascii="Consolas" w:cs="Consolas" w:hAnsi="Consolas"/>
          <w:b w:val="true"/>
          <w:sz w:val="30"/>
          <w:shd w:fill="EFF0F1"/>
        </w:rPr>
        <w:t>WorkingMemoryManager</w:t>
      </w:r>
      <w:r>
        <w:rPr>
          <w:rFonts w:eastAsia="等线" w:ascii="Arial" w:cs="Arial" w:hAnsi="Arial"/>
          <w:b w:val="true"/>
          <w:sz w:val="30"/>
        </w:rPr>
        <w:t>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 Reviewer 或后续的问答 Agent 实时调用，召回高保真上下文。</w:t>
      </w:r>
    </w:p>
    <w:p>
      <w:pPr>
        <w:spacing w:before="120" w:after="120" w:line="288" w:lineRule="auto"/>
        <w:ind w:left="0"/>
      </w:pPr>
      <w:r>
        <w:object>
          <v:shape id="_x0000_i1026" style="width:414pt;height:11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语义记忆图谱写入接口 (</w:t>
      </w:r>
      <w:r>
        <w:rPr>
          <w:rFonts w:eastAsia="Consolas" w:ascii="Consolas" w:cs="Consolas" w:hAnsi="Consolas"/>
          <w:b w:val="true"/>
          <w:sz w:val="30"/>
          <w:shd w:fill="EFF0F1"/>
        </w:rPr>
        <w:t>SemanticGraphManager</w:t>
      </w:r>
      <w:r>
        <w:rPr>
          <w:rFonts w:eastAsia="等线" w:ascii="Arial" w:cs="Arial" w:hAnsi="Arial"/>
          <w:b w:val="true"/>
          <w:sz w:val="30"/>
        </w:rPr>
        <w:t>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 Tracker Agent 节点在流程末尾调用，沉淀多篇文献间的知识脉络。</w:t>
      </w: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🔌 4. 外部大模型通信接口 (External LLM Tool Call)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为了彻底消除你由于网络或框架版本导致的 API 调用不通，我们明确 Reviewer Agent 请求本地 Ollama (glm4) 时，底层实际发出的 RESTful JSON Payload。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Endpoint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 xml:space="preserve">POST </w:t>
      </w:r>
      <w:r>
        <w:rPr>
          <w:rFonts w:eastAsia="Consolas" w:ascii="Consolas" w:cs="Consolas" w:hAnsi="Consolas"/>
          <w:sz w:val="22"/>
          <w:shd w:fill="EFF0F1"/>
        </w:rPr>
        <w:t>http://localhost:11434/api/chat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Payload (State 102 裁判节点专用)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"model": "glm4",</w:t>
              <w:br/>
              <w:t xml:space="preserve">  "messages": [</w:t>
              <w:br/>
              <w:t xml:space="preserve">    {</w:t>
              <w:br/>
              <w:t xml:space="preserve">      "role": "user",</w:t>
              <w:br/>
              <w:t xml:space="preserve">      "content": "Compare the derived formulas with the author claims in paper. Schema Required: {\"consistent\": false, \"confidence\": 8, \"reason\": \"xxx\"}"</w:t>
              <w:br/>
              <w:t xml:space="preserve">    }</w:t>
              <w:br/>
              <w:t xml:space="preserve">  ],</w:t>
              <w:br/>
              <w:t xml:space="preserve">  "format": "json",  </w:t>
              <w:br/>
              <w:t xml:space="preserve">  "options": {</w:t>
              <w:br/>
              <w:t xml:space="preserve">    "temperature": 0.1,</w:t>
              <w:br/>
              <w:t xml:space="preserve">    "num_ctx": 8192</w:t>
              <w:br/>
              <w:t xml:space="preserve">  },</w:t>
              <w:br/>
              <w:t xml:space="preserve">  "stream":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 Payload (Agent 预期接住的数据结构)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"model": "glm4",</w:t>
              <w:br/>
              <w:t xml:space="preserve">  "created_at": "2026-06-30T10:00:00.000000Z",</w:t>
              <w:br/>
              <w:t xml:space="preserve">  "message": {</w:t>
              <w:br/>
              <w:t xml:space="preserve">    "role": "assistant",</w:t>
              <w:br/>
              <w:t xml:space="preserve">    "content": "{\"consistent\": false, \"confidence\": 9, \"reason\": \"The original paper states O(N) complexity, but the derivation yields O(N^2).\"}"</w:t>
              <w:br/>
              <w:t xml:space="preserve">  },</w:t>
              <w:br/>
              <w:t xml:space="preserve">  "done":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有了这份精确到参数级别的契约文档，你的每一个 Python 函数该接收什么、该 </w:t>
      </w:r>
      <w:r>
        <w:rPr>
          <w:rFonts w:eastAsia="Consolas" w:ascii="Consolas" w:cs="Consolas" w:hAnsi="Consolas"/>
          <w:sz w:val="22"/>
          <w:shd w:fill="EFF0F1"/>
        </w:rPr>
        <w:t>return</w:t>
      </w:r>
      <w:r>
        <w:rPr>
          <w:rFonts w:eastAsia="等线" w:ascii="Arial" w:cs="Arial" w:hAnsi="Arial"/>
          <w:sz w:val="22"/>
        </w:rPr>
        <w:t xml:space="preserve"> 什么已经彻底锁死。大厂的代码就是这样一层一层垒起来的，绝不允许任何模块“越权”操作。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下一步：codex开发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5073">
    <w:lvl>
      <w:numFmt w:val="bullet"/>
      <w:suff w:val="tab"/>
      <w:lvlText w:val="•"/>
      <w:rPr>
        <w:color w:val="3370ff"/>
      </w:rPr>
    </w:lvl>
  </w:abstractNum>
  <w:abstractNum w:abstractNumId="715074">
    <w:lvl>
      <w:numFmt w:val="bullet"/>
      <w:suff w:val="tab"/>
      <w:lvlText w:val="•"/>
      <w:rPr>
        <w:color w:val="3370ff"/>
      </w:rPr>
    </w:lvl>
  </w:abstractNum>
  <w:abstractNum w:abstractNumId="715075">
    <w:lvl>
      <w:numFmt w:val="bullet"/>
      <w:suff w:val="tab"/>
      <w:lvlText w:val="•"/>
      <w:rPr>
        <w:color w:val="3370ff"/>
      </w:rPr>
    </w:lvl>
  </w:abstractNum>
  <w:abstractNum w:abstractNumId="715076">
    <w:lvl>
      <w:numFmt w:val="bullet"/>
      <w:suff w:val="tab"/>
      <w:lvlText w:val="•"/>
      <w:rPr>
        <w:color w:val="3370ff"/>
      </w:rPr>
    </w:lvl>
  </w:abstractNum>
  <w:abstractNum w:abstractNumId="715077">
    <w:lvl>
      <w:numFmt w:val="bullet"/>
      <w:suff w:val="tab"/>
      <w:lvlText w:val="•"/>
      <w:rPr>
        <w:color w:val="3370ff"/>
      </w:rPr>
    </w:lvl>
  </w:abstractNum>
  <w:abstractNum w:abstractNumId="715078">
    <w:lvl>
      <w:numFmt w:val="bullet"/>
      <w:suff w:val="tab"/>
      <w:lvlText w:val="•"/>
      <w:rPr>
        <w:color w:val="3370ff"/>
      </w:rPr>
    </w:lvl>
  </w:abstractNum>
  <w:abstractNum w:abstractNumId="715079">
    <w:lvl>
      <w:numFmt w:val="bullet"/>
      <w:suff w:val="tab"/>
      <w:lvlText w:val="•"/>
      <w:rPr>
        <w:color w:val="3370ff"/>
      </w:rPr>
    </w:lvl>
  </w:abstractNum>
  <w:abstractNum w:abstractNumId="715080">
    <w:lvl>
      <w:numFmt w:val="bullet"/>
      <w:suff w:val="tab"/>
      <w:lvlText w:val="•"/>
      <w:rPr>
        <w:color w:val="3370ff"/>
      </w:rPr>
    </w:lvl>
  </w:abstractNum>
  <w:abstractNum w:abstractNumId="715081">
    <w:lvl>
      <w:numFmt w:val="bullet"/>
      <w:suff w:val="tab"/>
      <w:lvlText w:val="•"/>
      <w:rPr>
        <w:color w:val="3370ff"/>
      </w:rPr>
    </w:lvl>
  </w:abstractNum>
  <w:num w:numId="1">
    <w:abstractNumId w:val="715073"/>
  </w:num>
  <w:num w:numId="2">
    <w:abstractNumId w:val="715074"/>
  </w:num>
  <w:num w:numId="3">
    <w:abstractNumId w:val="715075"/>
  </w:num>
  <w:num w:numId="4">
    <w:abstractNumId w:val="715076"/>
  </w:num>
  <w:num w:numId="5">
    <w:abstractNumId w:val="715077"/>
  </w:num>
  <w:num w:numId="6">
    <w:abstractNumId w:val="715078"/>
  </w:num>
  <w:num w:numId="7">
    <w:abstractNumId w:val="715079"/>
  </w:num>
  <w:num w:numId="8">
    <w:abstractNumId w:val="715080"/>
  </w:num>
  <w:num w:numId="9">
    <w:abstractNumId w:val="7150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2026-07-04T12:53:22Z</dcterms:created>
  <dc:creator>Apache POI</dc:creator>
</cp:coreProperties>
</file>