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VLM-PaperAgent 接口文档</w:t>
      </w:r>
    </w:p>
    <w:p>
      <w:pPr>
        <w:spacing w:after="280"/>
      </w:pPr>
      <w:r>
        <w:rPr>
          <w:rFonts w:ascii="Calibri" w:hAnsi="Calibri" w:eastAsia="Microsoft YaHei"/>
          <w:b w:val="0"/>
          <w:color w:val="5A6470"/>
          <w:sz w:val="24"/>
        </w:rPr>
        <w:t>内部节点契约、基础设施端口与 HTTP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360"/>
        <w:gridCol w:w="2800"/>
      </w:tblGrid>
      <w:t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定位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v1.2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证据可追溯 + 可评测 + 可恢复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代码骨架已建立</w:t>
            </w:r>
          </w:p>
        </w:tc>
      </w:tr>
    </w:tbl>
    <w:p>
      <w:pPr>
        <w:spacing w:after="0"/>
      </w:pPr>
    </w:p>
    <w:p>
      <w:pPr>
        <w:pStyle w:val="Heading1"/>
      </w:pPr>
      <w:r>
        <w:t>1. 统一原则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本版本以手写 FSM 为唯一主调度实现，LangGraph 仅作为二期对照方案。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跨层交互使用 Pydantic 模型或 Protocol，不传递无约束 Dict。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所有审稿结论必须返回 evidence_ids；所有运行记录携带 run_id。</w:t>
      </w:r>
    </w:p>
    <w:p>
      <w:pPr>
        <w:pStyle w:val="Heading1"/>
      </w:pPr>
      <w:r>
        <w:t>2. 核心内部契约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签名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PaperParser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parse(pdf_path, paper_id) -&gt; Paper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解析器适配端口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WorkflowNode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execute(context) -&gt; NodeResult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工作流节点统一接口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CheckpointStore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save(context); load(run_id)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执行状态持久化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VectorStore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upsert(elements); search(query, top_k)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向量存储端口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LLMClient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generate_structured(prompt, model)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结构化模型输出</w:t>
            </w:r>
          </w:p>
        </w:tc>
      </w:tr>
    </w:tbl>
    <w:p>
      <w:pPr>
        <w:spacing w:after="0"/>
      </w:pPr>
    </w:p>
    <w:p>
      <w:pPr>
        <w:pStyle w:val="Heading1"/>
      </w:pPr>
      <w:r>
        <w:t>3. NodeResult 契约</w:t>
      </w:r>
    </w:p>
    <w:p>
      <w:r>
        <w:rPr>
          <w:rFonts w:ascii="Calibri" w:hAnsi="Calibri" w:eastAsia="Microsoft YaHei"/>
          <w:b w:val="0"/>
          <w:sz w:val="22"/>
        </w:rPr>
        <w:t>字段：next_state 表示请求的目标状态；artifacts 表示节点产出的结构化增量；message 表示面向日志的简短摘要。Scheduler 在合并 artifacts 前验证状态转换。</w:t>
      </w:r>
    </w:p>
    <w:p>
      <w:pPr>
        <w:pStyle w:val="Heading1"/>
      </w:pPr>
      <w:r>
        <w:t>4. HTTP API 草案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000"/>
        <w:gridCol w:w="2900"/>
        <w:gridCol w:w="2460"/>
      </w:tblGrid>
      <w:t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响应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/health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健康检查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{status: ok}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/papers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上传论文并创建 paper_id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PaperSummary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/runs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启动解析/审稿工作流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RunStatus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/runs/{run_id}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查询状态、轨迹与错误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RunDetail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/papers/{paper_id}/questions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带证据问答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AnswerWithCitations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/papers/{paper_id}/report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获取审稿报告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ReviewReport</w:t>
            </w:r>
          </w:p>
        </w:tc>
      </w:tr>
    </w:tbl>
    <w:p>
      <w:pPr>
        <w:spacing w:after="0"/>
      </w:pPr>
    </w:p>
    <w:p>
      <w:pPr>
        <w:pStyle w:val="Heading1"/>
      </w:pPr>
      <w:r>
        <w:t>5. 错误模型</w:t>
      </w:r>
    </w:p>
    <w:p>
      <w:r>
        <w:rPr>
          <w:rFonts w:ascii="Calibri" w:hAnsi="Calibri" w:eastAsia="Microsoft YaHei"/>
          <w:b w:val="0"/>
          <w:sz w:val="22"/>
        </w:rPr>
        <w:t>统一错误字段包括 code、message、run_id、state、retryable 和 details。模型超时、输出校验失败、解析失败与基础设施不可用必须使用不同 code。</w:t>
      </w:r>
    </w:p>
    <w:p>
      <w:pPr>
        <w:pStyle w:val="Heading1"/>
      </w:pPr>
      <w:r>
        <w:t>6. 版本与幂等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Prompt、Parser、Embedding 和 Reranker 均记录版本。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POST /runs 接受 Idempotency-Key，重复请求返回同一 run。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数据库写入使用 paper_id 或 run_id 作为天然分区键。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6470"/>
        <w:sz w:val="17"/>
      </w:rPr>
      <w:t>v1.2 · 2026-07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A6470"/>
        <w:sz w:val="17"/>
      </w:rPr>
      <w:t>VLM-PaperAgent | API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