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YaHei"/>
          <w:b/>
          <w:color w:val="000000"/>
          <w:sz w:val="46"/>
        </w:rPr>
        <w:t>VLM-PaperAgent 数据字典</w:t>
      </w:r>
    </w:p>
    <w:p>
      <w:pPr>
        <w:spacing w:after="280"/>
      </w:pPr>
      <w:r>
        <w:rPr>
          <w:rFonts w:ascii="Calibri" w:hAnsi="Calibri" w:eastAsia="Microsoft YaHei"/>
          <w:b w:val="0"/>
          <w:color w:val="5A6470"/>
          <w:sz w:val="24"/>
        </w:rPr>
        <w:t>领域模型与 Chroma / Redis / Neo4j Schema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5360"/>
        <w:gridCol w:w="2800"/>
      </w:tblGrid>
      <w:tr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版本</w:t>
            </w:r>
          </w:p>
        </w:tc>
        <w:tc>
          <w:tcPr>
            <w:tcW w:type="dxa" w:w="5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定位</w:t>
            </w:r>
          </w:p>
        </w:tc>
        <w:tc>
          <w:tcPr>
            <w:tcW w:type="dxa" w:w="2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状态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v1.2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证据可追溯 + 可评测 + 可恢复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代码骨架已建立</w:t>
            </w:r>
          </w:p>
        </w:tc>
      </w:tr>
    </w:tbl>
    <w:p>
      <w:pPr>
        <w:spacing w:after="0"/>
      </w:pPr>
    </w:p>
    <w:p>
      <w:pPr>
        <w:pStyle w:val="Heading1"/>
      </w:pPr>
      <w:r>
        <w:t>1. 领域模型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5000"/>
        <w:gridCol w:w="2760"/>
      </w:tblGrid>
      <w:tr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实体</w:t>
            </w:r>
          </w:p>
        </w:tc>
        <w:tc>
          <w:tcPr>
            <w:tcW w:type="dxa" w:w="5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关键字段</w:t>
            </w:r>
          </w:p>
        </w:tc>
        <w:tc>
          <w:tcPr>
            <w:tcW w:type="dxa" w:w="2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约束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Paper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paper_id, title, source_path, sha256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sha256 用于文件去重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PaperElement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element_id, page, bbox, section_path, element_type, content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page&gt;=1；content 非空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Claim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claim_id, paper_id, text, source_element_ids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必须可定位原文主张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ReviewFinding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claim_id, verdict, evidence_ids, confidence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supported 必须有 evidence_ids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RunContext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run_id, state, artifacts, errors, state_history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每次转换持久化</w:t>
            </w:r>
          </w:p>
        </w:tc>
      </w:tr>
    </w:tbl>
    <w:p>
      <w:pPr>
        <w:spacing w:after="0"/>
      </w:pPr>
    </w:p>
    <w:p>
      <w:pPr>
        <w:pStyle w:val="Heading1"/>
      </w:pPr>
      <w:r>
        <w:t>2. Chroma：paper_elements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200"/>
        <w:gridCol w:w="4960"/>
      </w:tblGrid>
      <w:t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字段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位置</w:t>
            </w:r>
          </w:p>
        </w:tc>
        <w:tc>
          <w:tcPr>
            <w:tcW w:type="dxa" w:w="4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element_id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document id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全局唯一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content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document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用于 Embedding 的规范化文本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paper_id/page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metadata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论文过滤与引用定位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element_type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metadata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paragraph/equation/table/figure/caption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section_path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metadata JSON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章节层级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parent_id/prev_id/next_id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metadata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上下文扩展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embedding_version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metadata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支持重建索引与回归</w:t>
            </w:r>
          </w:p>
        </w:tc>
      </w:tr>
    </w:tbl>
    <w:p>
      <w:pPr>
        <w:spacing w:after="0"/>
      </w:pPr>
    </w:p>
    <w:p>
      <w:pPr>
        <w:pStyle w:val="Heading1"/>
      </w:pPr>
      <w:r>
        <w:t>3. Redis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3000"/>
        <w:gridCol w:w="2760"/>
      </w:tblGrid>
      <w:tr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Key 模式</w:t>
            </w:r>
          </w:p>
        </w:tc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数据</w:t>
            </w:r>
          </w:p>
        </w:tc>
        <w:tc>
          <w:tcPr>
            <w:tcW w:type="dxa" w:w="2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TTL/用途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paper-agent:run:{run_id}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RunContext JSON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7天；checkpoint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paper-agent:session:{session_id}:history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消息列表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24小时；短期会话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paper-agent:idempotency:{key}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run_id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24小时；防止重复任务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paper-agent:lock:{paper_id}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owner token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短 TTL；防止重复索引</w:t>
            </w:r>
          </w:p>
        </w:tc>
      </w:tr>
    </w:tbl>
    <w:p>
      <w:pPr>
        <w:spacing w:after="0"/>
      </w:pPr>
    </w:p>
    <w:p>
      <w:pPr>
        <w:pStyle w:val="Heading1"/>
      </w:pPr>
      <w:r>
        <w:t>4. Neo4j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800"/>
        <w:gridCol w:w="4360"/>
      </w:tblGrid>
      <w:tr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类型</w:t>
            </w:r>
          </w:p>
        </w:tc>
        <w:tc>
          <w:tcPr>
            <w:tcW w:type="dxa" w:w="3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Label/Relationship</w:t>
            </w:r>
          </w:p>
        </w:tc>
        <w:tc>
          <w:tcPr>
            <w:tcW w:type="dxa" w:w="4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关键属性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节点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Paper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paper_id, title, year, arxiv_id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节点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Method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canonical_name, aliases, embedding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节点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Dataset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canonical_name, task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节点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MetricResult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metric, value, split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节点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Insight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verdict, confidence, evidence_ids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关系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PROPOSES / EVALUATED_ON / IMPROVES_UPON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reason, evidence_ids, run_id</w:t>
            </w:r>
          </w:p>
        </w:tc>
      </w:tr>
    </w:tbl>
    <w:p>
      <w:pPr>
        <w:spacing w:after="0"/>
      </w:pPr>
    </w:p>
    <w:p>
      <w:pPr>
        <w:pStyle w:val="Heading1"/>
      </w:pPr>
      <w:r>
        <w:t>5. 运行与评测记录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400"/>
        <w:gridCol w:w="3160"/>
      </w:tblGrid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实体</w:t>
            </w:r>
          </w:p>
        </w:tc>
        <w:tc>
          <w:tcPr>
            <w:tcW w:type="dxa" w:w="4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关键字段</w:t>
            </w:r>
          </w:p>
        </w:tc>
        <w:tc>
          <w:tcPr>
            <w:tcW w:type="dxa" w:w="3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用途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RunRecord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run_id, node, attempt, latency_ms, status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可观测与失败定位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ModelCall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model_version, prompt_version, tokens, latency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成本与回归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GoldenQuestion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question_id, paper_id, relevant_element_ids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检索评测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EvalResult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dataset_version, metric, value, commit_sha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防止指标口径漂移</w:t>
            </w:r>
          </w:p>
        </w:tc>
      </w:tr>
    </w:tbl>
    <w:p>
      <w:pPr>
        <w:spacing w:after="0"/>
      </w:pPr>
    </w:p>
    <w:p>
      <w:pPr>
        <w:pStyle w:val="Heading1"/>
      </w:pPr>
      <w:r>
        <w:t>6. 一致性规则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paper_id 与 element_id 在所有存储中保持一致。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Chroma 为检索索引，不作为业务事实的唯一来源。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Neo4j 关系必须携带 evidence_ids，避免无来源图谱边。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Redis checkpoint 只保存可序列化状态，不保存数据库连接或模型客户端。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5A6470"/>
        <w:sz w:val="17"/>
      </w:rPr>
      <w:t>v1.2 · 2026-07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 w:val="0"/>
        <w:color w:val="5A6470"/>
        <w:sz w:val="17"/>
      </w:rPr>
      <w:t>VLM-PaperAgent | Data Dictionary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